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ind w:left="3"/>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67.060</w:t>
            </w:r>
            <w:r>
              <w:rPr>
                <w:rFonts w:ascii="黑体" w:hAnsi="黑体" w:eastAsia="黑体"/>
                <w:sz w:val="21"/>
                <w:szCs w:val="21"/>
              </w:rPr>
              <w:fldChar w:fldCharType="end"/>
            </w:r>
            <w:bookmarkEnd w:id="0"/>
          </w:p>
        </w:tc>
      </w:tr>
      <w:tr>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X11</w:t>
            </w:r>
            <w:r>
              <w:rPr>
                <w:rFonts w:ascii="黑体" w:hAnsi="黑体" w:eastAsia="黑体"/>
                <w:sz w:val="21"/>
                <w:szCs w:val="21"/>
              </w:rPr>
              <w:fldChar w:fldCharType="end"/>
            </w:r>
            <w:bookmarkEnd w:id="1"/>
          </w:p>
        </w:tc>
      </w:tr>
    </w:tbl>
    <w:tbl>
      <w:tblPr>
        <w:tblStyle w:val="28"/>
        <w:tblpPr w:leftFromText="181" w:rightFromText="181" w:horzAnchor="margin" w:tblpX="3857" w:tblpY="5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990"/>
      </w:tblGrid>
      <w:tr>
        <w:trPr>
          <w:trHeight w:val="1128" w:hRule="atLeast"/>
        </w:trPr>
        <w:tc>
          <w:tcPr>
            <w:tcW w:w="4990" w:type="dxa"/>
          </w:tcPr>
          <w:p>
            <w:pPr>
              <w:pStyle w:val="50"/>
              <w:framePr w:w="0" w:hRule="auto" w:wrap="auto" w:vAnchor="margin" w:hAnchor="text" w:xAlign="left" w:yAlign="inline"/>
              <w:ind w:firstLine="420"/>
            </w:pPr>
            <w:bookmarkStart w:id="2" w:name="_Hlk26473981"/>
            <w:r>
              <w:fldChar w:fldCharType="begin">
                <w:ffData>
                  <w:name w:val="c1"/>
                  <w:enabled/>
                  <w:calcOnExit w:val="0"/>
                  <w:textInput>
                    <w:maxLength w:val="8"/>
                  </w:textInput>
                </w:ffData>
              </w:fldChar>
            </w:r>
            <w:bookmarkStart w:id="3" w:name="c1"/>
            <w:r>
              <w:instrText xml:space="preserve"> FORMTEXT </w:instrText>
            </w:r>
            <w:r>
              <w:fldChar w:fldCharType="separate"/>
            </w:r>
            <w:r>
              <w:t>QB</w:t>
            </w:r>
            <w:r>
              <w:fldChar w:fldCharType="end"/>
            </w:r>
            <w:bookmarkEnd w:id="3"/>
          </w:p>
        </w:tc>
      </w:tr>
    </w:tbl>
    <w:p>
      <w:pPr>
        <w:pStyle w:val="51"/>
        <w:framePr w:w="9639" w:h="624" w:hRule="exact" w:hSpace="181" w:vSpace="181" w:wrap="around" w:hAnchor="page" w:x="1305" w:y="2269"/>
        <w:rPr>
          <w:rFonts w:hint="eastAsia" w:ascii="黑体" w:hAnsi="黑体" w:eastAsia="黑体"/>
          <w:b w:val="0"/>
          <w:bCs w:val="0"/>
          <w:w w:val="100"/>
          <w:sz w:val="48"/>
          <w:szCs w:val="48"/>
        </w:rPr>
      </w:pPr>
      <w:r>
        <w:rPr>
          <w:rFonts w:hint="eastAsia" w:ascii="黑体" w:hAnsi="黑体" w:eastAsia="黑体"/>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fldChar w:fldCharType="separate"/>
      </w:r>
      <w:r>
        <w:rPr>
          <w:rFonts w:hint="eastAsia" w:ascii="黑体" w:eastAsia="黑体"/>
          <w:b w:val="0"/>
          <w:bCs w:val="0"/>
          <w:w w:val="100"/>
          <w:sz w:val="48"/>
        </w:rPr>
        <w:t>轻工</w:t>
      </w:r>
      <w:r>
        <w:rPr>
          <w:rFonts w:ascii="黑体" w:eastAsia="黑体"/>
          <w:b w:val="0"/>
          <w:bCs w:val="0"/>
          <w:w w:val="100"/>
          <w:sz w:val="48"/>
        </w:rPr>
        <w:fldChar w:fldCharType="end"/>
      </w:r>
      <w:bookmarkEnd w:id="4"/>
      <w:r>
        <w:rPr>
          <w:rFonts w:hint="eastAsia" w:ascii="黑体" w:hAnsi="黑体" w:eastAsia="黑体"/>
          <w:b w:val="0"/>
          <w:bCs w:val="0"/>
          <w:w w:val="100"/>
          <w:sz w:val="48"/>
          <w:szCs w:val="48"/>
        </w:rPr>
        <w:t>行业标准</w:t>
      </w:r>
    </w:p>
    <w:bookmarkEnd w:id="2"/>
    <w:p>
      <w:pPr>
        <w:pStyle w:val="196"/>
        <w:framePr/>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QB/T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framePr/>
        <w:rPr>
          <w:rFonts w:hint="eastAsia" w:hAnsi="黑体"/>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fldChar w:fldCharType="separate"/>
      </w:r>
      <w:r>
        <w:rPr>
          <w:rFonts w:hAnsi="黑体"/>
          <w:lang w:val="fr-FR"/>
        </w:rPr>
        <w:t>     </w:t>
      </w:r>
      <w:r>
        <w:rPr>
          <w:rFonts w:hAnsi="黑体"/>
        </w:rPr>
        <w:fldChar w:fldCharType="end"/>
      </w:r>
      <w:bookmarkEnd w:id="8"/>
    </w:p>
    <w:p>
      <w:pPr>
        <w:spacing w:line="240" w:lineRule="auto"/>
        <w:rPr>
          <w:rFonts w:hint="eastAsia" w:ascii="黑体" w:hAnsi="黑体" w:eastAsia="黑体"/>
          <w:kern w:val="0"/>
          <w:sz w:val="10"/>
          <w:szCs w:val="10"/>
          <w:lang w:val="fr-FR"/>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hint="eastAsia" w:ascii="黑体" w:hAnsi="黑体" w:eastAsia="黑体"/>
          <w:b w:val="0"/>
          <w:bCs w:val="0"/>
          <w:w w:val="100"/>
          <w:lang w:val="fr-FR"/>
        </w:rPr>
      </w:pPr>
    </w:p>
    <w:p>
      <w:pPr>
        <w:pStyle w:val="198"/>
        <w:framePr w:h="6974" w:hRule="exact" w:wrap="around" w:x="1419" w:anchorLock="1"/>
        <w:rPr>
          <w:rFonts w:hint="eastAsia"/>
          <w:lang w:val="fr-FR"/>
        </w:rPr>
      </w:pPr>
      <w:r>
        <w:fldChar w:fldCharType="begin">
          <w:ffData>
            <w:name w:val="CSTD_NAME"/>
            <w:enabled/>
            <w:calcOnExit w:val="0"/>
            <w:textInput>
              <w:default w:val="点击此处添加标准名称"/>
            </w:textInput>
          </w:ffData>
        </w:fldChar>
      </w:r>
      <w:bookmarkStart w:id="9" w:name="CSTD_NAME"/>
      <w:r>
        <w:rPr>
          <w:lang w:val="fr-FR"/>
        </w:rPr>
        <w:instrText xml:space="preserve"> FORMTEXT </w:instrText>
      </w:r>
      <w:r>
        <w:fldChar w:fldCharType="separate"/>
      </w:r>
      <w:r>
        <w:rPr>
          <w:rFonts w:hint="eastAsia"/>
        </w:rPr>
        <w:t>畜禽肉制品中非肉类蛋白的测定</w:t>
      </w:r>
    </w:p>
    <w:p>
      <w:pPr>
        <w:pStyle w:val="198"/>
        <w:framePr w:h="6974" w:hRule="exact" w:wrap="around" w:x="1419" w:anchorLock="1"/>
        <w:rPr>
          <w:rFonts w:hint="eastAsia"/>
          <w:lang w:val="fr-FR"/>
        </w:rPr>
      </w:pPr>
      <w:r>
        <w:fldChar w:fldCharType="end"/>
      </w:r>
      <w:bookmarkEnd w:id="9"/>
    </w:p>
    <w:p>
      <w:pPr>
        <w:framePr w:w="9639" w:h="6974" w:hRule="exact" w:wrap="around" w:vAnchor="page" w:hAnchor="page" w:x="1419" w:y="6408" w:anchorLock="1"/>
        <w:ind w:left="-1418"/>
        <w:rPr>
          <w:lang w:val="fr-FR"/>
        </w:rPr>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Determination of non-meat proteins in meat products</w:t>
      </w:r>
    </w:p>
    <w:p>
      <w:pPr>
        <w:pStyle w:val="126"/>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lang w:val="fr-FR"/>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lang w:val="fr-FR"/>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1"/>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3"/>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pPr>
        <w:pStyle w:val="194"/>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bookmarkStart w:id="41" w:name="_GoBack"/>
      <w:bookmarkEnd w:id="41"/>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pPr>
        <w:pStyle w:val="15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中华人民共和国工业和信息化部</w:t>
      </w:r>
      <w:r>
        <w:rPr>
          <w:rFonts w:hAnsi="黑体"/>
          <w:w w:val="100"/>
          <w:sz w:val="28"/>
        </w:rPr>
        <w:fldChar w:fldCharType="end"/>
      </w:r>
      <w:bookmarkEnd w:id="21"/>
      <w:r>
        <w:rPr>
          <w:rFonts w:ascii="Times New Roman"/>
          <w:w w:val="100"/>
          <w:sz w:val="28"/>
          <w:szCs w:val="28"/>
        </w:rPr>
        <w:t>  </w:t>
      </w:r>
      <w:r>
        <w:rPr>
          <w:rStyle w:val="230"/>
          <w:rFonts w:hint="eastAsia" w:hAnsi="黑体"/>
          <w:position w:val="0"/>
        </w:rPr>
        <w:t>发</w:t>
      </w:r>
      <w:r>
        <w:rPr>
          <w:rStyle w:val="230"/>
          <w:rFonts w:hint="eastAsia" w:hAnsi="黑体"/>
          <w:spacing w:val="0"/>
          <w:position w:val="0"/>
        </w:rPr>
        <w:t>布</w:t>
      </w:r>
    </w:p>
    <w:p>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021"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pPr>
        <w:pStyle w:val="90"/>
        <w:spacing w:after="360"/>
      </w:pPr>
      <w:bookmarkStart w:id="22" w:name="BookMark2"/>
      <w:r>
        <w:rPr>
          <w:spacing w:val="320"/>
        </w:rPr>
        <w:t>前</w:t>
      </w:r>
      <w:r>
        <w:t>言</w:t>
      </w:r>
    </w:p>
    <w:p>
      <w:pPr>
        <w:pStyle w:val="57"/>
        <w:ind w:firstLine="420"/>
      </w:pPr>
      <w:r>
        <w:rPr>
          <w:rFonts w:hint="eastAsia"/>
        </w:rPr>
        <w:t>本文件依据GB/T 1.1-2020 《标准化工作导则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本文件由******提出。</w:t>
      </w:r>
    </w:p>
    <w:p>
      <w:pPr>
        <w:pStyle w:val="57"/>
        <w:ind w:firstLine="420"/>
      </w:pPr>
      <w:r>
        <w:rPr>
          <w:rFonts w:hint="eastAsia"/>
        </w:rPr>
        <w:t>本文件由由********归口。</w:t>
      </w:r>
    </w:p>
    <w:p>
      <w:pPr>
        <w:pStyle w:val="57"/>
        <w:ind w:firstLine="420"/>
      </w:pPr>
      <w:r>
        <w:rPr>
          <w:rFonts w:hint="eastAsia"/>
        </w:rPr>
        <w:t xml:space="preserve">本文件起草单位： </w:t>
      </w:r>
    </w:p>
    <w:p>
      <w:pPr>
        <w:pStyle w:val="57"/>
        <w:ind w:firstLine="420"/>
      </w:pPr>
      <w:r>
        <w:rPr>
          <w:rFonts w:hint="eastAsia"/>
        </w:rPr>
        <w:t>本文件主要起草人：</w:t>
      </w:r>
      <w:r>
        <w:t xml:space="preserve"> </w:t>
      </w:r>
    </w:p>
    <w:p>
      <w:pPr>
        <w:pStyle w:val="57"/>
        <w:ind w:firstLine="420"/>
      </w:pPr>
      <w:r>
        <w:rPr>
          <w:rFonts w:hint="eastAsia"/>
        </w:rPr>
        <w:t>本文件为首次发布。</w:t>
      </w:r>
    </w:p>
    <w:p>
      <w:pPr>
        <w:pStyle w:val="57"/>
        <w:ind w:firstLine="420"/>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linePitch="312" w:charSpace="0"/>
        </w:sectPr>
      </w:pPr>
    </w:p>
    <w:bookmarkEnd w:id="22"/>
    <w:p>
      <w:pPr>
        <w:spacing w:line="20" w:lineRule="exact"/>
        <w:jc w:val="center"/>
        <w:rPr>
          <w:rFonts w:hint="eastAsia" w:ascii="黑体" w:hAnsi="黑体" w:eastAsia="黑体"/>
          <w:sz w:val="32"/>
          <w:szCs w:val="32"/>
        </w:rPr>
      </w:pPr>
      <w:bookmarkStart w:id="23"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231FE690B0624853ADD19C3FCCEF37A6"/>
        </w:placeholder>
      </w:sdtPr>
      <w:sdtContent>
        <w:p>
          <w:pPr>
            <w:pStyle w:val="178"/>
            <w:spacing w:before="436" w:beforeLines="182" w:after="528" w:afterLines="220"/>
            <w:rPr>
              <w:rFonts w:hint="eastAsia"/>
            </w:rPr>
          </w:pPr>
          <w:bookmarkStart w:id="24" w:name="NEW_STAND_NAME"/>
          <w:r>
            <w:rPr>
              <w:rFonts w:hint="eastAsia"/>
            </w:rPr>
            <w:t>畜禽肉制品中非肉类蛋白的测定</w:t>
          </w:r>
        </w:p>
      </w:sdtContent>
    </w:sdt>
    <w:bookmarkEnd w:id="23"/>
    <w:bookmarkEnd w:id="24"/>
    <w:p>
      <w:pPr>
        <w:pStyle w:val="105"/>
        <w:spacing w:before="240" w:after="240"/>
      </w:pPr>
      <w:bookmarkStart w:id="25" w:name="_Toc26986771"/>
      <w:bookmarkStart w:id="26" w:name="_Toc26986530"/>
      <w:bookmarkStart w:id="27" w:name="_Toc17233333"/>
      <w:bookmarkStart w:id="28" w:name="_Toc24884211"/>
      <w:bookmarkStart w:id="29" w:name="_Toc26648465"/>
      <w:bookmarkStart w:id="30" w:name="_Toc26718930"/>
      <w:bookmarkStart w:id="31" w:name="_Toc17233325"/>
      <w:bookmarkStart w:id="32" w:name="_Toc24884218"/>
      <w:r>
        <w:rPr>
          <w:rFonts w:hint="eastAsia"/>
        </w:rPr>
        <w:t>范围</w:t>
      </w:r>
      <w:bookmarkEnd w:id="25"/>
      <w:bookmarkEnd w:id="26"/>
      <w:bookmarkEnd w:id="27"/>
      <w:bookmarkEnd w:id="28"/>
      <w:bookmarkEnd w:id="29"/>
      <w:bookmarkEnd w:id="30"/>
      <w:bookmarkEnd w:id="31"/>
      <w:bookmarkEnd w:id="32"/>
    </w:p>
    <w:p>
      <w:pPr>
        <w:pStyle w:val="57"/>
        <w:ind w:firstLine="420"/>
        <w:rPr>
          <w:color w:val="000000" w:themeColor="text1"/>
          <w14:textFill>
            <w14:solidFill>
              <w14:schemeClr w14:val="tx1"/>
            </w14:solidFill>
          </w14:textFill>
        </w:rPr>
      </w:pPr>
      <w:bookmarkStart w:id="33" w:name="_Toc17233326"/>
      <w:bookmarkStart w:id="34" w:name="_Toc24884219"/>
      <w:bookmarkStart w:id="35" w:name="_Toc26648466"/>
      <w:bookmarkStart w:id="36" w:name="_Toc24884212"/>
      <w:bookmarkStart w:id="37" w:name="_Toc17233334"/>
      <w:r>
        <w:rPr>
          <w:rFonts w:hint="eastAsia"/>
          <w:color w:val="000000" w:themeColor="text1"/>
          <w14:textFill>
            <w14:solidFill>
              <w14:schemeClr w14:val="tx1"/>
            </w14:solidFill>
          </w14:textFill>
        </w:rPr>
        <w:t>本文件规定了畜禽肉制品中非肉类蛋白成分的液相色谱-串联质谱定性测定方法。</w:t>
      </w:r>
    </w:p>
    <w:p>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本方法适用于畜禽肉制品中大豆蛋白、豌豆蛋白、小麦蛋白、花生蛋白及蛋液等非肉类蛋白的测定。</w:t>
      </w:r>
    </w:p>
    <w:p>
      <w:pPr>
        <w:pStyle w:val="105"/>
        <w:spacing w:before="240" w:after="240"/>
        <w:rPr>
          <w:color w:val="000000" w:themeColor="text1"/>
          <w14:textFill>
            <w14:solidFill>
              <w14:schemeClr w14:val="tx1"/>
            </w14:solidFill>
          </w14:textFill>
        </w:rPr>
      </w:pPr>
      <w:bookmarkStart w:id="38" w:name="_Toc26718931"/>
      <w:bookmarkStart w:id="39" w:name="_Toc26986531"/>
      <w:bookmarkStart w:id="40" w:name="_Toc26986772"/>
      <w:r>
        <w:rPr>
          <w:rFonts w:hint="eastAsia"/>
          <w:color w:val="000000" w:themeColor="text1"/>
          <w14:textFill>
            <w14:solidFill>
              <w14:schemeClr w14:val="tx1"/>
            </w14:solidFill>
          </w14:textFill>
        </w:rPr>
        <w:t>规范性引用文件</w:t>
      </w:r>
      <w:bookmarkEnd w:id="33"/>
      <w:bookmarkEnd w:id="34"/>
      <w:bookmarkEnd w:id="35"/>
      <w:bookmarkEnd w:id="36"/>
      <w:bookmarkEnd w:id="37"/>
      <w:bookmarkEnd w:id="38"/>
      <w:bookmarkEnd w:id="39"/>
      <w:bookmarkEnd w:id="40"/>
    </w:p>
    <w:sdt>
      <w:sdtPr>
        <w:rPr>
          <w:rFonts w:hint="eastAsia"/>
          <w:color w:val="000000" w:themeColor="text1"/>
          <w14:textFill>
            <w14:solidFill>
              <w14:schemeClr w14:val="tx1"/>
            </w14:solidFill>
          </w14:textFill>
        </w:rPr>
        <w:id w:val="715848253"/>
        <w:placeholder>
          <w:docPart w:val="A9223B7E72E541478EE2E6677BBADF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GB/T 6682 分析实验室用水规格和试验方法</w:t>
      </w:r>
    </w:p>
    <w:p>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SB/T 10823-2012 畜禽肉制品加工中使用非肉类蛋白质制品导则</w:t>
      </w:r>
    </w:p>
    <w:p>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NY/T 2791-2015 肉制品加工中非肉类蛋白质使用导则</w:t>
      </w:r>
    </w:p>
    <w:p>
      <w:pPr>
        <w:pStyle w:val="105"/>
        <w:spacing w:before="240" w:after="240"/>
        <w:rPr>
          <w:color w:val="000000" w:themeColor="text1"/>
          <w14:textFill>
            <w14:solidFill>
              <w14:schemeClr w14:val="tx1"/>
            </w14:solidFill>
          </w14:textFill>
        </w:rPr>
      </w:pPr>
      <w:r>
        <w:rPr>
          <w:rFonts w:hint="eastAsia"/>
          <w:color w:val="000000" w:themeColor="text1"/>
          <w14:textFill>
            <w14:solidFill>
              <w14:schemeClr w14:val="tx1"/>
            </w14:solidFill>
          </w14:textFill>
        </w:rPr>
        <w:t>原理</w:t>
      </w:r>
    </w:p>
    <w:p>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样品经蛋白提取溶液提取、胰蛋白酶酶解、固相萃取柱净化后，采用LC-MS/MS方法测定物种专属性多肽质谱信息，通过对比分析样品与对照试验谱图，进而判定样品中的非肉类蛋白成分。</w:t>
      </w:r>
    </w:p>
    <w:p>
      <w:pPr>
        <w:pStyle w:val="105"/>
        <w:spacing w:before="240" w:after="240"/>
      </w:pPr>
      <w:r>
        <w:rPr>
          <w:rFonts w:hint="eastAsia"/>
        </w:rPr>
        <w:t>试剂和材料</w:t>
      </w:r>
    </w:p>
    <w:p>
      <w:pPr>
        <w:pStyle w:val="57"/>
        <w:ind w:firstLine="420"/>
      </w:pPr>
      <w:r>
        <w:rPr>
          <w:rFonts w:hint="eastAsia"/>
        </w:rPr>
        <w:t>除另有规定外，所有试剂均为分析纯，水为符合GB/T 6682规定的一级水。</w:t>
      </w:r>
    </w:p>
    <w:p>
      <w:pPr>
        <w:pStyle w:val="106"/>
        <w:spacing w:before="120" w:after="120"/>
      </w:pPr>
      <w:r>
        <w:rPr>
          <w:rFonts w:hint="eastAsia"/>
        </w:rPr>
        <w:t>试剂</w:t>
      </w:r>
    </w:p>
    <w:p>
      <w:pPr>
        <w:pStyle w:val="57"/>
        <w:ind w:firstLine="420"/>
        <w:rPr>
          <w:rFonts w:ascii="Times New Roman"/>
        </w:rPr>
      </w:pPr>
      <w:r>
        <w:rPr>
          <w:rFonts w:ascii="Times New Roman"/>
        </w:rPr>
        <w:t>4.1.1 乙腈（CH</w:t>
      </w:r>
      <w:r>
        <w:rPr>
          <w:rFonts w:ascii="Times New Roman"/>
          <w:sz w:val="15"/>
          <w:szCs w:val="13"/>
        </w:rPr>
        <w:t>3</w:t>
      </w:r>
      <w:r>
        <w:rPr>
          <w:rFonts w:ascii="Times New Roman"/>
        </w:rPr>
        <w:t>CN, ACN）：质谱纯。</w:t>
      </w:r>
    </w:p>
    <w:p>
      <w:pPr>
        <w:pStyle w:val="57"/>
        <w:ind w:firstLine="420"/>
        <w:rPr>
          <w:rFonts w:ascii="Times New Roman"/>
        </w:rPr>
      </w:pPr>
      <w:r>
        <w:rPr>
          <w:rFonts w:ascii="Times New Roman"/>
        </w:rPr>
        <w:t>4.1.2 甲酸（HCOOH, FA）：质谱纯。</w:t>
      </w:r>
    </w:p>
    <w:p>
      <w:pPr>
        <w:pStyle w:val="57"/>
        <w:ind w:firstLine="420"/>
        <w:rPr>
          <w:rFonts w:ascii="Times New Roman"/>
        </w:rPr>
      </w:pPr>
      <w:r>
        <w:rPr>
          <w:rFonts w:ascii="Times New Roman"/>
        </w:rPr>
        <w:t>4.1.3 乙酸（CH3COOH）。</w:t>
      </w:r>
    </w:p>
    <w:p>
      <w:pPr>
        <w:pStyle w:val="57"/>
        <w:ind w:firstLine="420"/>
        <w:rPr>
          <w:rFonts w:ascii="Times New Roman"/>
        </w:rPr>
      </w:pPr>
      <w:r>
        <w:rPr>
          <w:rFonts w:ascii="Times New Roman"/>
        </w:rPr>
        <w:t>4.1.4 二硫苏糖醇（DTT）：纯度&gt;99 %</w:t>
      </w:r>
      <w:r>
        <w:rPr>
          <w:rFonts w:hint="eastAsia" w:ascii="Times New Roman"/>
        </w:rPr>
        <w:t>。</w:t>
      </w:r>
    </w:p>
    <w:p>
      <w:pPr>
        <w:pStyle w:val="57"/>
        <w:ind w:firstLine="420"/>
        <w:rPr>
          <w:rFonts w:ascii="Times New Roman"/>
        </w:rPr>
      </w:pPr>
      <w:r>
        <w:rPr>
          <w:rFonts w:ascii="Times New Roman"/>
        </w:rPr>
        <w:t>4.1.5 碘乙酰胺（IAA）：纯度&gt;99 %</w:t>
      </w:r>
      <w:r>
        <w:rPr>
          <w:rFonts w:hint="eastAsia" w:ascii="Times New Roman"/>
        </w:rPr>
        <w:t>。</w:t>
      </w:r>
    </w:p>
    <w:p>
      <w:pPr>
        <w:pStyle w:val="57"/>
        <w:ind w:firstLine="420"/>
        <w:rPr>
          <w:rFonts w:ascii="Times New Roman"/>
        </w:rPr>
      </w:pPr>
      <w:r>
        <w:rPr>
          <w:rFonts w:ascii="Times New Roman"/>
        </w:rPr>
        <w:t>4.1.6 胰蛋白酶（Trypsin）：13000-20000 U/mg，或相当水平。</w:t>
      </w:r>
    </w:p>
    <w:p>
      <w:pPr>
        <w:pStyle w:val="57"/>
        <w:ind w:firstLine="420"/>
        <w:rPr>
          <w:rFonts w:ascii="Times New Roman"/>
        </w:rPr>
      </w:pPr>
      <w:r>
        <w:rPr>
          <w:rFonts w:ascii="Times New Roman"/>
        </w:rPr>
        <w:t>4.1.7 三羟甲基氨基甲烷（Tris）。</w:t>
      </w:r>
    </w:p>
    <w:p>
      <w:pPr>
        <w:pStyle w:val="57"/>
        <w:ind w:firstLine="420"/>
        <w:rPr>
          <w:rFonts w:ascii="Times New Roman"/>
        </w:rPr>
      </w:pPr>
      <w:r>
        <w:rPr>
          <w:rFonts w:ascii="Times New Roman"/>
        </w:rPr>
        <w:t>4.1.8 盐酸（HCl）：37 %。</w:t>
      </w:r>
    </w:p>
    <w:p>
      <w:pPr>
        <w:pStyle w:val="57"/>
        <w:ind w:firstLine="420"/>
        <w:rPr>
          <w:rFonts w:ascii="Times New Roman"/>
        </w:rPr>
      </w:pPr>
      <w:r>
        <w:rPr>
          <w:rFonts w:ascii="Times New Roman"/>
        </w:rPr>
        <w:t>4.1.9 尿素。</w:t>
      </w:r>
    </w:p>
    <w:p>
      <w:pPr>
        <w:pStyle w:val="57"/>
        <w:ind w:firstLine="420"/>
        <w:rPr>
          <w:rFonts w:ascii="Times New Roman"/>
        </w:rPr>
      </w:pPr>
      <w:r>
        <w:rPr>
          <w:rFonts w:ascii="Times New Roman"/>
        </w:rPr>
        <w:t>4.1.10 硫脲。</w:t>
      </w:r>
    </w:p>
    <w:p>
      <w:pPr>
        <w:pStyle w:val="106"/>
        <w:spacing w:before="120" w:after="120"/>
        <w:rPr>
          <w:rFonts w:hint="eastAsia" w:hAnsi="黑体" w:cs="宋体"/>
          <w:szCs w:val="21"/>
        </w:rPr>
      </w:pPr>
      <w:r>
        <w:rPr>
          <w:rFonts w:hint="eastAsia"/>
        </w:rPr>
        <w:t>溶液的配制</w:t>
      </w:r>
    </w:p>
    <w:p>
      <w:pPr>
        <w:pStyle w:val="57"/>
        <w:ind w:firstLine="420"/>
        <w:rPr>
          <w:rFonts w:ascii="Times New Roman"/>
        </w:rPr>
      </w:pPr>
      <w:r>
        <w:rPr>
          <w:rFonts w:ascii="Times New Roman"/>
        </w:rPr>
        <w:t>4.2.1 Tris溶液（0.2 mol/L）：称取6.05 g Tris（4.1.7），用水溶解后</w:t>
      </w:r>
      <w:r>
        <w:rPr>
          <w:rFonts w:hint="eastAsia" w:ascii="Times New Roman"/>
        </w:rPr>
        <w:t>稀释</w:t>
      </w:r>
      <w:r>
        <w:rPr>
          <w:rFonts w:ascii="Times New Roman"/>
        </w:rPr>
        <w:t>至250 mL。</w:t>
      </w:r>
    </w:p>
    <w:p>
      <w:pPr>
        <w:pStyle w:val="57"/>
        <w:ind w:firstLine="420"/>
        <w:rPr>
          <w:rFonts w:ascii="Times New Roman"/>
        </w:rPr>
      </w:pPr>
      <w:r>
        <w:rPr>
          <w:rFonts w:ascii="Times New Roman"/>
        </w:rPr>
        <w:t>4.2.2 HCl溶液（0.2 mol/L）：量取5.1 mL HCl（4.1.8），</w:t>
      </w:r>
      <w:r>
        <w:rPr>
          <w:rFonts w:hint="eastAsia" w:ascii="Times New Roman"/>
        </w:rPr>
        <w:t>缓慢倒入装有水的烧杯中，并</w:t>
      </w:r>
      <w:r>
        <w:rPr>
          <w:rFonts w:ascii="Times New Roman"/>
        </w:rPr>
        <w:t>稀释至250 mL。</w:t>
      </w:r>
    </w:p>
    <w:p>
      <w:pPr>
        <w:pStyle w:val="57"/>
        <w:ind w:firstLine="420"/>
        <w:rPr>
          <w:rFonts w:ascii="Times New Roman"/>
        </w:rPr>
      </w:pPr>
      <w:r>
        <w:rPr>
          <w:rFonts w:ascii="Times New Roman"/>
        </w:rPr>
        <w:t>4.2.3 蛋白提取溶液：称取105.1 g尿素（4.1.9）和38.06 g硫脲（4.1.10），加入62.5 mL Tris溶液（4.2.1）和36.5 mL HCl溶液（4.2.2）溶解后，用水</w:t>
      </w:r>
      <w:r>
        <w:rPr>
          <w:rFonts w:hint="eastAsia" w:ascii="Times New Roman"/>
        </w:rPr>
        <w:t>稀释</w:t>
      </w:r>
      <w:r>
        <w:rPr>
          <w:rFonts w:ascii="Times New Roman"/>
        </w:rPr>
        <w:t>至250 mL。</w:t>
      </w:r>
    </w:p>
    <w:p>
      <w:pPr>
        <w:pStyle w:val="57"/>
        <w:ind w:firstLine="420"/>
        <w:rPr>
          <w:rFonts w:ascii="Times New Roman"/>
        </w:rPr>
      </w:pPr>
      <w:r>
        <w:rPr>
          <w:rFonts w:ascii="Times New Roman"/>
        </w:rPr>
        <w:t>4.2.4 DTT溶液（100 mmol/L）：称取0.031 g DTT（4.1.4），加入2 mL水溶解，临用现配。</w:t>
      </w:r>
    </w:p>
    <w:p>
      <w:pPr>
        <w:pStyle w:val="57"/>
        <w:ind w:firstLine="420"/>
        <w:rPr>
          <w:rFonts w:ascii="Times New Roman"/>
        </w:rPr>
      </w:pPr>
      <w:r>
        <w:rPr>
          <w:rFonts w:ascii="Times New Roman"/>
        </w:rPr>
        <w:t>4.2.5 IAA溶液（100 mmol/L）：称取0.037 g IAA（4.1.5），加入2 mL水溶解，临用现配。</w:t>
      </w:r>
    </w:p>
    <w:p>
      <w:pPr>
        <w:pStyle w:val="57"/>
        <w:ind w:firstLine="420"/>
        <w:rPr>
          <w:rFonts w:ascii="Times New Roman"/>
        </w:rPr>
      </w:pPr>
      <w:r>
        <w:rPr>
          <w:rFonts w:ascii="Times New Roman"/>
        </w:rPr>
        <w:t>4.2.6 Tris-HCl溶液（25 mmol/L）：分别移取12.5 mL Tris溶液（4.2.1）和7.3 mL HCl溶液（4.2.2），用水</w:t>
      </w:r>
      <w:r>
        <w:rPr>
          <w:rFonts w:hint="eastAsia" w:ascii="Times New Roman"/>
        </w:rPr>
        <w:t>稀释</w:t>
      </w:r>
      <w:r>
        <w:rPr>
          <w:rFonts w:ascii="Times New Roman"/>
        </w:rPr>
        <w:t>至100 mL。</w:t>
      </w:r>
    </w:p>
    <w:p>
      <w:pPr>
        <w:pStyle w:val="57"/>
        <w:ind w:firstLine="420"/>
        <w:rPr>
          <w:rFonts w:ascii="Times New Roman"/>
        </w:rPr>
      </w:pPr>
      <w:r>
        <w:rPr>
          <w:rFonts w:ascii="Times New Roman"/>
        </w:rPr>
        <w:t>4.2.7 0.01%乙酸溶液：移取10 μL乙酸（4.1.3），用水</w:t>
      </w:r>
      <w:r>
        <w:rPr>
          <w:rFonts w:hint="eastAsia" w:ascii="Times New Roman"/>
        </w:rPr>
        <w:t>稀释</w:t>
      </w:r>
      <w:r>
        <w:rPr>
          <w:rFonts w:ascii="Times New Roman"/>
        </w:rPr>
        <w:t>至100 mL。</w:t>
      </w:r>
    </w:p>
    <w:p>
      <w:pPr>
        <w:pStyle w:val="57"/>
        <w:ind w:firstLine="420"/>
        <w:rPr>
          <w:rFonts w:ascii="Times New Roman"/>
        </w:rPr>
      </w:pPr>
      <w:r>
        <w:rPr>
          <w:rFonts w:ascii="Times New Roman"/>
        </w:rPr>
        <w:t>4.2.8 胰蛋白酶溶液（1 mg/mL）：称取2 mg胰蛋白酶（4.1.6），加入2 mL乙酸溶液（4.2.7）溶液，临用现配。</w:t>
      </w:r>
    </w:p>
    <w:p>
      <w:pPr>
        <w:pStyle w:val="57"/>
        <w:ind w:firstLine="420"/>
        <w:rPr>
          <w:rFonts w:ascii="Times New Roman"/>
        </w:rPr>
      </w:pPr>
      <w:r>
        <w:rPr>
          <w:rFonts w:ascii="Times New Roman"/>
        </w:rPr>
        <w:t>4.2.9 0.5%乙酸溶液：移取1.0 mL乙酸（4.1.3），用水</w:t>
      </w:r>
      <w:r>
        <w:rPr>
          <w:rFonts w:hint="eastAsia" w:ascii="Times New Roman"/>
        </w:rPr>
        <w:t>稀释</w:t>
      </w:r>
      <w:r>
        <w:rPr>
          <w:rFonts w:ascii="Times New Roman"/>
        </w:rPr>
        <w:t>至200 mL。</w:t>
      </w:r>
    </w:p>
    <w:p>
      <w:pPr>
        <w:pStyle w:val="57"/>
        <w:ind w:firstLine="420"/>
        <w:rPr>
          <w:rFonts w:ascii="Times New Roman"/>
        </w:rPr>
      </w:pPr>
      <w:r>
        <w:rPr>
          <w:rFonts w:ascii="Times New Roman"/>
        </w:rPr>
        <w:t>4.2.10 乙</w:t>
      </w:r>
      <w:r>
        <w:rPr>
          <w:rFonts w:hint="eastAsia" w:ascii="Times New Roman"/>
        </w:rPr>
        <w:t>酸</w:t>
      </w:r>
      <w:r>
        <w:rPr>
          <w:rFonts w:ascii="Times New Roman"/>
        </w:rPr>
        <w:t>-乙</w:t>
      </w:r>
      <w:r>
        <w:rPr>
          <w:rFonts w:hint="eastAsia" w:ascii="Times New Roman"/>
        </w:rPr>
        <w:t>腈</w:t>
      </w:r>
      <w:r>
        <w:rPr>
          <w:rFonts w:ascii="Times New Roman"/>
        </w:rPr>
        <w:t>溶液（</w:t>
      </w:r>
      <w:r>
        <w:rPr>
          <w:rFonts w:hint="eastAsia" w:ascii="Times New Roman"/>
        </w:rPr>
        <w:t>4</w:t>
      </w:r>
      <w:r>
        <w:rPr>
          <w:rFonts w:ascii="Times New Roman"/>
        </w:rPr>
        <w:t>/</w:t>
      </w:r>
      <w:r>
        <w:rPr>
          <w:rFonts w:hint="eastAsia" w:ascii="Times New Roman"/>
        </w:rPr>
        <w:t>6</w:t>
      </w:r>
      <w:r>
        <w:rPr>
          <w:rFonts w:ascii="Times New Roman"/>
        </w:rPr>
        <w:t>, V/V）：取60 mL乙腈（4.1.1）和40 mL乙酸溶液（4.2.9），混匀。</w:t>
      </w:r>
    </w:p>
    <w:p>
      <w:pPr>
        <w:pStyle w:val="57"/>
        <w:ind w:firstLine="420"/>
        <w:rPr>
          <w:rFonts w:ascii="Times New Roman"/>
        </w:rPr>
      </w:pPr>
      <w:r>
        <w:rPr>
          <w:rFonts w:ascii="Times New Roman"/>
        </w:rPr>
        <w:t>4.2.11 0.1%甲酸溶液：移取1.0 mL甲酸（4.1.2），用水</w:t>
      </w:r>
      <w:r>
        <w:rPr>
          <w:rFonts w:hint="eastAsia" w:ascii="Times New Roman"/>
        </w:rPr>
        <w:t>稀释</w:t>
      </w:r>
      <w:r>
        <w:rPr>
          <w:rFonts w:ascii="Times New Roman"/>
        </w:rPr>
        <w:t>至1000 mL。</w:t>
      </w:r>
    </w:p>
    <w:p>
      <w:pPr>
        <w:pStyle w:val="57"/>
        <w:ind w:firstLine="420"/>
        <w:rPr>
          <w:rFonts w:ascii="Times New Roman"/>
          <w:color w:val="FF0000"/>
        </w:rPr>
      </w:pPr>
      <w:r>
        <w:rPr>
          <w:rFonts w:ascii="Times New Roman"/>
        </w:rPr>
        <w:t>4.2.12 0.1%甲酸-乙腈溶液：移取1.0 mL甲酸（4.1.2），用乙腈（4.1.1）</w:t>
      </w:r>
      <w:r>
        <w:rPr>
          <w:rFonts w:hint="eastAsia" w:ascii="Times New Roman"/>
        </w:rPr>
        <w:t>稀释</w:t>
      </w:r>
      <w:r>
        <w:rPr>
          <w:rFonts w:ascii="Times New Roman"/>
        </w:rPr>
        <w:t>至1000 mL。</w:t>
      </w:r>
    </w:p>
    <w:p>
      <w:pPr>
        <w:pStyle w:val="106"/>
        <w:spacing w:before="120" w:after="120"/>
        <w:rPr>
          <w:rFonts w:hint="eastAsia" w:hAnsi="黑体" w:cs="宋体"/>
          <w:szCs w:val="21"/>
        </w:rPr>
      </w:pPr>
      <w:r>
        <w:rPr>
          <w:rFonts w:hint="eastAsia" w:hAnsi="黑体" w:cs="宋体"/>
          <w:szCs w:val="21"/>
        </w:rPr>
        <w:t>材料</w:t>
      </w:r>
    </w:p>
    <w:p>
      <w:pPr>
        <w:pStyle w:val="231"/>
      </w:pPr>
      <w:r>
        <w:rPr>
          <w:rFonts w:hint="eastAsia"/>
        </w:rPr>
        <w:t>4.3.1 C</w:t>
      </w:r>
      <w:r>
        <w:rPr>
          <w:rFonts w:hint="eastAsia"/>
          <w:vertAlign w:val="subscript"/>
        </w:rPr>
        <w:t>18</w:t>
      </w:r>
      <w:r>
        <w:rPr>
          <w:rFonts w:hint="eastAsia"/>
        </w:rPr>
        <w:t>固相萃取柱：60 mg/3 mL，或相当者。</w:t>
      </w:r>
    </w:p>
    <w:p>
      <w:pPr>
        <w:pStyle w:val="231"/>
      </w:pPr>
      <w:r>
        <w:rPr>
          <w:rFonts w:hint="eastAsia"/>
        </w:rPr>
        <w:t>4.3.2 聚丙烯离心管：5 mL、50 mL。</w:t>
      </w:r>
    </w:p>
    <w:p>
      <w:pPr>
        <w:pStyle w:val="231"/>
      </w:pPr>
      <w:r>
        <w:rPr>
          <w:rFonts w:hint="eastAsia"/>
        </w:rPr>
        <w:t xml:space="preserve">4.3.3 微孔滤膜：尼龙材质，孔径0.22 </w:t>
      </w:r>
      <w:r>
        <w:t>μ</w:t>
      </w:r>
      <w:r>
        <w:rPr>
          <w:rFonts w:hint="eastAsia"/>
        </w:rPr>
        <w:t>m或性能相当者。</w:t>
      </w:r>
    </w:p>
    <w:p>
      <w:pPr>
        <w:pStyle w:val="105"/>
        <w:spacing w:before="240" w:after="240"/>
      </w:pPr>
      <w:r>
        <w:rPr>
          <w:rFonts w:hint="eastAsia"/>
        </w:rPr>
        <w:t>仪器设备</w:t>
      </w:r>
    </w:p>
    <w:p>
      <w:pPr>
        <w:pStyle w:val="231"/>
      </w:pPr>
      <w:r>
        <w:rPr>
          <w:rFonts w:hint="eastAsia"/>
        </w:rPr>
        <w:t>5.1 液相色谱-串联质谱仪（LC-MS/MS）：配电喷雾离子源（ESI）。</w:t>
      </w:r>
    </w:p>
    <w:p>
      <w:pPr>
        <w:pStyle w:val="231"/>
      </w:pPr>
      <w:r>
        <w:rPr>
          <w:rFonts w:hint="eastAsia"/>
        </w:rPr>
        <w:t>5.2 天平：感量0.0001 g和0.001 g。</w:t>
      </w:r>
    </w:p>
    <w:p>
      <w:pPr>
        <w:pStyle w:val="231"/>
      </w:pPr>
      <w:r>
        <w:rPr>
          <w:rFonts w:hint="eastAsia"/>
        </w:rPr>
        <w:t>5.3 均质器。</w:t>
      </w:r>
    </w:p>
    <w:p>
      <w:pPr>
        <w:pStyle w:val="231"/>
      </w:pPr>
      <w:r>
        <w:rPr>
          <w:rFonts w:hint="eastAsia"/>
        </w:rPr>
        <w:t>5.4 涡旋混合器。</w:t>
      </w:r>
    </w:p>
    <w:p>
      <w:pPr>
        <w:pStyle w:val="231"/>
      </w:pPr>
      <w:r>
        <w:rPr>
          <w:rFonts w:hint="eastAsia"/>
        </w:rPr>
        <w:t>5.5 恒温水浴振荡器。</w:t>
      </w:r>
    </w:p>
    <w:p>
      <w:pPr>
        <w:pStyle w:val="231"/>
      </w:pPr>
      <w:r>
        <w:rPr>
          <w:rFonts w:hint="eastAsia"/>
        </w:rPr>
        <w:t>5.6 高速冷冻离心机：转速不少于12000 r/min。</w:t>
      </w:r>
    </w:p>
    <w:p>
      <w:pPr>
        <w:pStyle w:val="231"/>
      </w:pPr>
      <w:r>
        <w:rPr>
          <w:rFonts w:hint="eastAsia"/>
        </w:rPr>
        <w:t>5.7 固相萃取装置。</w:t>
      </w:r>
    </w:p>
    <w:p>
      <w:pPr>
        <w:pStyle w:val="231"/>
      </w:pPr>
      <w:r>
        <w:rPr>
          <w:rFonts w:hint="eastAsia"/>
        </w:rPr>
        <w:t>5.8 超声波提取仪</w:t>
      </w:r>
    </w:p>
    <w:p>
      <w:pPr>
        <w:pStyle w:val="105"/>
        <w:spacing w:before="240" w:after="240"/>
      </w:pPr>
      <w:r>
        <w:rPr>
          <w:rFonts w:hint="eastAsia"/>
        </w:rPr>
        <w:t>分析步骤</w:t>
      </w:r>
    </w:p>
    <w:p>
      <w:pPr>
        <w:pStyle w:val="106"/>
        <w:spacing w:before="120" w:after="120"/>
      </w:pPr>
      <w:r>
        <w:rPr>
          <w:rFonts w:hint="eastAsia"/>
        </w:rPr>
        <w:t>样品的制备与保存</w:t>
      </w:r>
    </w:p>
    <w:p>
      <w:pPr>
        <w:pStyle w:val="231"/>
      </w:pPr>
      <w:r>
        <w:rPr>
          <w:rFonts w:hint="eastAsia"/>
        </w:rPr>
        <w:t>取适量样品，绞碎并使均质。装入洁净容器中，密封，标记备用。-18℃下保存。</w:t>
      </w:r>
    </w:p>
    <w:p>
      <w:pPr>
        <w:pStyle w:val="106"/>
        <w:spacing w:before="120" w:after="120"/>
      </w:pPr>
      <w:r>
        <w:rPr>
          <w:rFonts w:hint="eastAsia"/>
        </w:rPr>
        <w:t>测定步骤</w:t>
      </w:r>
    </w:p>
    <w:p>
      <w:pPr>
        <w:pStyle w:val="231"/>
      </w:pPr>
      <w:r>
        <w:rPr>
          <w:rFonts w:hint="eastAsia"/>
        </w:rPr>
        <w:t>6</w:t>
      </w:r>
      <w:r>
        <w:t>.2.1 提取</w:t>
      </w:r>
    </w:p>
    <w:p>
      <w:pPr>
        <w:pStyle w:val="231"/>
      </w:pPr>
      <w:r>
        <w:t>称取样品2 g（精确至0.01 g）</w:t>
      </w:r>
      <w:r>
        <w:rPr>
          <w:rFonts w:hint="eastAsia"/>
        </w:rPr>
        <w:t>于离心管</w:t>
      </w:r>
      <w:r>
        <w:t>，加入20 mL提前</w:t>
      </w:r>
      <w:r>
        <w:rPr>
          <w:rFonts w:hint="eastAsia"/>
        </w:rPr>
        <w:t>在</w:t>
      </w:r>
      <w:r>
        <w:t>4 ℃</w:t>
      </w:r>
      <w:r>
        <w:rPr>
          <w:rFonts w:hint="eastAsia"/>
        </w:rPr>
        <w:t>条件下</w:t>
      </w:r>
      <w:r>
        <w:t>预冷</w:t>
      </w:r>
      <w:r>
        <w:rPr>
          <w:rFonts w:hint="eastAsia"/>
        </w:rPr>
        <w:t>2 h</w:t>
      </w:r>
      <w:r>
        <w:t>的蛋白提取溶液（</w:t>
      </w:r>
      <w:r>
        <w:rPr>
          <w:rFonts w:hint="eastAsia"/>
        </w:rPr>
        <w:t>4</w:t>
      </w:r>
      <w:r>
        <w:t>.2.3），均质，4℃下12000 r/min离心20 min，移取200 µL上清液</w:t>
      </w:r>
      <w:r>
        <w:rPr>
          <w:rFonts w:hint="eastAsia"/>
        </w:rPr>
        <w:t>（若溶液中含有脂肪层，应取中间层溶液）</w:t>
      </w:r>
      <w:r>
        <w:t>于5 mL离心管中。</w:t>
      </w:r>
    </w:p>
    <w:p>
      <w:pPr>
        <w:pStyle w:val="231"/>
      </w:pPr>
      <w:r>
        <w:rPr>
          <w:rFonts w:hint="eastAsia"/>
        </w:rPr>
        <w:t>6</w:t>
      </w:r>
      <w:r>
        <w:t>.2.2 酶解</w:t>
      </w:r>
    </w:p>
    <w:p>
      <w:pPr>
        <w:pStyle w:val="231"/>
      </w:pPr>
      <w:r>
        <w:t>加入30 µL二硫苏糖醇溶液(</w:t>
      </w:r>
      <w:r>
        <w:rPr>
          <w:rFonts w:hint="eastAsia"/>
        </w:rPr>
        <w:t>4</w:t>
      </w:r>
      <w:r>
        <w:t>.2.4)</w:t>
      </w:r>
      <w:r>
        <w:rPr>
          <w:rFonts w:hint="eastAsia"/>
        </w:rPr>
        <w:t>于上述离心管</w:t>
      </w:r>
      <w:r>
        <w:t>，涡旋混匀，</w:t>
      </w:r>
      <w:r>
        <w:rPr>
          <w:rFonts w:hint="eastAsia"/>
        </w:rPr>
        <w:t>在</w:t>
      </w:r>
      <w:r>
        <w:t>56℃</w:t>
      </w:r>
      <w:r>
        <w:rPr>
          <w:rFonts w:hint="eastAsia"/>
        </w:rPr>
        <w:t>恒温水浴振荡器</w:t>
      </w:r>
      <w:r>
        <w:t>下反应60 min；取出</w:t>
      </w:r>
      <w:r>
        <w:rPr>
          <w:rFonts w:hint="eastAsia"/>
        </w:rPr>
        <w:t>待</w:t>
      </w:r>
      <w:r>
        <w:t>恢复至室温后，加入30 µL碘乙酰胺溶液(</w:t>
      </w:r>
      <w:r>
        <w:rPr>
          <w:rFonts w:hint="eastAsia"/>
        </w:rPr>
        <w:t>4</w:t>
      </w:r>
      <w:r>
        <w:t>.2.5)，涡旋混匀，室温下暗处反应30 min；取出加入1.8 mL Tris-HCl溶液(</w:t>
      </w:r>
      <w:r>
        <w:rPr>
          <w:rFonts w:hint="eastAsia"/>
        </w:rPr>
        <w:t>4</w:t>
      </w:r>
      <w:r>
        <w:t>.2.6)和60 µL胰蛋白酶溶液(</w:t>
      </w:r>
      <w:r>
        <w:rPr>
          <w:rFonts w:hint="eastAsia"/>
        </w:rPr>
        <w:t>4</w:t>
      </w:r>
      <w:r>
        <w:t>.2.8)，于37℃</w:t>
      </w:r>
      <w:r>
        <w:rPr>
          <w:rFonts w:hint="eastAsia"/>
        </w:rPr>
        <w:t>恒温水浴振荡器</w:t>
      </w:r>
      <w:r>
        <w:t>下反应4 h，取出待恢复至室温后，加入15 µL乙酸以终止酶解反应。</w:t>
      </w:r>
    </w:p>
    <w:p>
      <w:pPr>
        <w:pStyle w:val="231"/>
      </w:pPr>
      <w:r>
        <w:rPr>
          <w:rFonts w:hint="eastAsia"/>
        </w:rPr>
        <w:t>6</w:t>
      </w:r>
      <w:r>
        <w:t>.2.3 净化</w:t>
      </w:r>
    </w:p>
    <w:p>
      <w:pPr>
        <w:pStyle w:val="231"/>
      </w:pPr>
      <w:r>
        <w:rPr>
          <w:rFonts w:hint="eastAsia"/>
        </w:rPr>
        <w:t>依次</w:t>
      </w:r>
      <w:r>
        <w:t>用3 mL乙腈、3 mL乙酸溶液（</w:t>
      </w:r>
      <w:r>
        <w:rPr>
          <w:rFonts w:hint="eastAsia"/>
        </w:rPr>
        <w:t>4</w:t>
      </w:r>
      <w:r>
        <w:t>.2.9）活化固相萃取柱（</w:t>
      </w:r>
      <w:r>
        <w:rPr>
          <w:rFonts w:hint="eastAsia"/>
        </w:rPr>
        <w:t>4</w:t>
      </w:r>
      <w:r>
        <w:t>.3.1），上样，控制流速为1 mL/min（如果酶解溶液比较浑浊，可先在5000 r/min下进行离心，再上样）。用3 mL乙酸溶液（</w:t>
      </w:r>
      <w:r>
        <w:rPr>
          <w:rFonts w:hint="eastAsia"/>
        </w:rPr>
        <w:t>4</w:t>
      </w:r>
      <w:r>
        <w:t>.2.9）淋洗固相萃取柱，抽干，用2 mL乙</w:t>
      </w:r>
      <w:r>
        <w:rPr>
          <w:rFonts w:hint="eastAsia"/>
        </w:rPr>
        <w:t>酸</w:t>
      </w:r>
      <w:r>
        <w:t>-</w:t>
      </w:r>
      <w:r>
        <w:rPr>
          <w:rFonts w:hint="eastAsia"/>
        </w:rPr>
        <w:t>乙腈</w:t>
      </w:r>
      <w:r>
        <w:t>溶液</w:t>
      </w:r>
      <w:r>
        <w:rPr>
          <w:rFonts w:hint="eastAsia"/>
        </w:rPr>
        <w:t>（4</w:t>
      </w:r>
      <w:r>
        <w:t>.2.10</w:t>
      </w:r>
      <w:r>
        <w:rPr>
          <w:rFonts w:hint="eastAsia"/>
        </w:rPr>
        <w:t>）</w:t>
      </w:r>
      <w:r>
        <w:t>洗脱并接收，涡旋混匀。过0.22 μm滤膜后进行仪器分析。</w:t>
      </w:r>
    </w:p>
    <w:p>
      <w:pPr>
        <w:pStyle w:val="106"/>
        <w:spacing w:before="120" w:after="120"/>
      </w:pPr>
      <w:r>
        <w:rPr>
          <w:rFonts w:hint="eastAsia"/>
        </w:rPr>
        <w:t>对照实验</w:t>
      </w:r>
    </w:p>
    <w:p>
      <w:pPr>
        <w:pStyle w:val="231"/>
        <w:rPr>
          <w:color w:val="000000" w:themeColor="text1"/>
          <w14:textFill>
            <w14:solidFill>
              <w14:schemeClr w14:val="tx1"/>
            </w14:solidFill>
          </w14:textFill>
        </w:rPr>
      </w:pPr>
      <w:r>
        <w:rPr>
          <w:rFonts w:hint="eastAsia"/>
          <w:color w:val="000000" w:themeColor="text1"/>
          <w14:textFill>
            <w14:solidFill>
              <w14:schemeClr w14:val="tx1"/>
            </w14:solidFill>
          </w14:textFill>
        </w:rPr>
        <w:t>对照实验是用含目标非肉类蛋白的样品，按照上述的测定步骤进行样品制备后，LC-MS/MS进行分析。当采用植物蛋白粉样品作为对照样品时，称样0.3 g样品，加入20 mL蛋白提取溶液（4.2.3）冰水浴超声提取30 min，离心，取上清液，后续步骤同6.2。应在分析每一批实验时，同时进行对照样品分析。</w:t>
      </w:r>
    </w:p>
    <w:p>
      <w:pPr>
        <w:pStyle w:val="105"/>
        <w:spacing w:before="240" w:after="240"/>
      </w:pPr>
      <w:r>
        <w:rPr>
          <w:rFonts w:hint="eastAsia"/>
        </w:rPr>
        <w:t>LC-MS/MS分析</w:t>
      </w:r>
    </w:p>
    <w:p>
      <w:pPr>
        <w:pStyle w:val="106"/>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液相条件参考信息</w:t>
      </w:r>
    </w:p>
    <w:p>
      <w:pPr>
        <w:pStyle w:val="231"/>
      </w:pPr>
      <w:r>
        <w:t>1) 色谱柱：C</w:t>
      </w:r>
      <w:r>
        <w:rPr>
          <w:vertAlign w:val="subscript"/>
        </w:rPr>
        <w:t>18</w:t>
      </w:r>
      <w:r>
        <w:rPr>
          <w:rFonts w:hint="eastAsia"/>
        </w:rPr>
        <w:t>，</w:t>
      </w:r>
      <w:r>
        <w:t>2.1 mm × 150 mm, 1.9 μm，或性能相当者；</w:t>
      </w:r>
    </w:p>
    <w:p>
      <w:pPr>
        <w:pStyle w:val="231"/>
      </w:pPr>
      <w:r>
        <w:t>2) 色谱柱温度：40℃；</w:t>
      </w:r>
    </w:p>
    <w:p>
      <w:pPr>
        <w:pStyle w:val="231"/>
      </w:pPr>
      <w:r>
        <w:t>3) 进样体积：5 μL；</w:t>
      </w:r>
    </w:p>
    <w:p>
      <w:pPr>
        <w:pStyle w:val="231"/>
      </w:pPr>
      <w:r>
        <w:t>4) 流动相梯度见表1；</w:t>
      </w:r>
    </w:p>
    <w:p>
      <w:pPr>
        <w:pStyle w:val="231"/>
      </w:pPr>
      <w:r>
        <w:t>5) 流速：0.2 mL/min。</w:t>
      </w:r>
    </w:p>
    <w:p>
      <w:pPr>
        <w:pStyle w:val="231"/>
        <w:jc w:val="center"/>
        <w:rPr>
          <w:color w:val="0070C0"/>
        </w:rPr>
      </w:pPr>
      <w:r>
        <w:rPr>
          <w:rFonts w:hint="eastAsia"/>
        </w:rPr>
        <w:t>表1 流动相梯度</w:t>
      </w:r>
    </w:p>
    <w:tbl>
      <w:tblPr>
        <w:tblStyle w:val="27"/>
        <w:tblW w:w="6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835"/>
        <w:gridCol w:w="2783"/>
      </w:tblGrid>
      <w:tr>
        <w:trPr>
          <w:trHeight w:val="20" w:hRule="atLeast"/>
          <w:jc w:val="center"/>
        </w:trPr>
        <w:tc>
          <w:tcPr>
            <w:tcW w:w="1242" w:type="dxa"/>
            <w:vAlign w:val="center"/>
          </w:tcPr>
          <w:p>
            <w:pPr>
              <w:jc w:val="center"/>
              <w:rPr>
                <w:rFonts w:ascii="Times New Roman" w:hAnsi="Times New Roman"/>
              </w:rPr>
            </w:pPr>
            <w:r>
              <w:rPr>
                <w:rFonts w:ascii="Times New Roman" w:hAnsi="Times New Roman"/>
              </w:rPr>
              <w:t>时间/min</w:t>
            </w:r>
          </w:p>
        </w:tc>
        <w:tc>
          <w:tcPr>
            <w:tcW w:w="2835" w:type="dxa"/>
            <w:vAlign w:val="center"/>
          </w:tcPr>
          <w:p>
            <w:pPr>
              <w:jc w:val="center"/>
              <w:rPr>
                <w:rFonts w:ascii="Times New Roman" w:hAnsi="Times New Roman"/>
              </w:rPr>
            </w:pPr>
            <w:r>
              <w:rPr>
                <w:rFonts w:hint="eastAsia" w:ascii="Times New Roman" w:hAnsi="Times New Roman"/>
              </w:rPr>
              <w:t>0.1%甲酸溶液</w:t>
            </w:r>
            <w:r>
              <w:rPr>
                <w:rFonts w:ascii="Times New Roman" w:hAnsi="Times New Roman"/>
              </w:rPr>
              <w:t>，%</w:t>
            </w:r>
          </w:p>
        </w:tc>
        <w:tc>
          <w:tcPr>
            <w:tcW w:w="2783" w:type="dxa"/>
            <w:vAlign w:val="center"/>
          </w:tcPr>
          <w:p>
            <w:pPr>
              <w:jc w:val="center"/>
              <w:rPr>
                <w:rFonts w:ascii="Times New Roman" w:hAnsi="Times New Roman"/>
              </w:rPr>
            </w:pPr>
            <w:r>
              <w:rPr>
                <w:rFonts w:hint="eastAsia" w:ascii="Times New Roman" w:hAnsi="Times New Roman"/>
              </w:rPr>
              <w:t>0.1%甲酸-乙腈溶液</w:t>
            </w:r>
            <w:r>
              <w:rPr>
                <w:rFonts w:ascii="Times New Roman" w:hAnsi="Times New Roman"/>
              </w:rPr>
              <w:t>，%</w:t>
            </w:r>
          </w:p>
        </w:tc>
      </w:tr>
      <w:tr>
        <w:trPr>
          <w:trHeight w:val="20" w:hRule="atLeast"/>
          <w:jc w:val="center"/>
        </w:trPr>
        <w:tc>
          <w:tcPr>
            <w:tcW w:w="1242" w:type="dxa"/>
            <w:vAlign w:val="center"/>
          </w:tcPr>
          <w:p>
            <w:pPr>
              <w:jc w:val="center"/>
              <w:rPr>
                <w:rFonts w:ascii="Times New Roman" w:hAnsi="Times New Roman"/>
              </w:rPr>
            </w:pPr>
            <w:r>
              <w:rPr>
                <w:rFonts w:ascii="Times New Roman" w:hAnsi="Times New Roman"/>
              </w:rPr>
              <w:t>0</w:t>
            </w:r>
          </w:p>
        </w:tc>
        <w:tc>
          <w:tcPr>
            <w:tcW w:w="2835" w:type="dxa"/>
            <w:vAlign w:val="center"/>
          </w:tcPr>
          <w:p>
            <w:pPr>
              <w:jc w:val="center"/>
              <w:rPr>
                <w:rFonts w:ascii="Times New Roman" w:hAnsi="Times New Roman"/>
              </w:rPr>
            </w:pPr>
            <w:r>
              <w:rPr>
                <w:rFonts w:ascii="Times New Roman" w:hAnsi="Times New Roman"/>
              </w:rPr>
              <w:t>97</w:t>
            </w:r>
          </w:p>
        </w:tc>
        <w:tc>
          <w:tcPr>
            <w:tcW w:w="2783" w:type="dxa"/>
            <w:vAlign w:val="center"/>
          </w:tcPr>
          <w:p>
            <w:pPr>
              <w:jc w:val="center"/>
              <w:rPr>
                <w:rFonts w:ascii="Times New Roman" w:hAnsi="Times New Roman"/>
              </w:rPr>
            </w:pPr>
            <w:r>
              <w:rPr>
                <w:rFonts w:ascii="Times New Roman" w:hAnsi="Times New Roman"/>
              </w:rPr>
              <w:t>3</w:t>
            </w:r>
          </w:p>
        </w:tc>
      </w:tr>
      <w:tr>
        <w:trPr>
          <w:trHeight w:val="20" w:hRule="atLeast"/>
          <w:jc w:val="center"/>
        </w:trPr>
        <w:tc>
          <w:tcPr>
            <w:tcW w:w="1242" w:type="dxa"/>
            <w:vAlign w:val="center"/>
          </w:tcPr>
          <w:p>
            <w:pPr>
              <w:jc w:val="center"/>
              <w:rPr>
                <w:rFonts w:ascii="Times New Roman" w:hAnsi="Times New Roman"/>
              </w:rPr>
            </w:pPr>
            <w:r>
              <w:rPr>
                <w:rFonts w:ascii="Times New Roman" w:hAnsi="Times New Roman"/>
              </w:rPr>
              <w:t>0.2</w:t>
            </w:r>
          </w:p>
        </w:tc>
        <w:tc>
          <w:tcPr>
            <w:tcW w:w="2835" w:type="dxa"/>
            <w:vAlign w:val="center"/>
          </w:tcPr>
          <w:p>
            <w:pPr>
              <w:jc w:val="center"/>
              <w:rPr>
                <w:rFonts w:ascii="Times New Roman" w:hAnsi="Times New Roman"/>
              </w:rPr>
            </w:pPr>
            <w:r>
              <w:rPr>
                <w:rFonts w:ascii="Times New Roman" w:hAnsi="Times New Roman"/>
              </w:rPr>
              <w:t>90</w:t>
            </w:r>
          </w:p>
        </w:tc>
        <w:tc>
          <w:tcPr>
            <w:tcW w:w="2783" w:type="dxa"/>
            <w:vAlign w:val="center"/>
          </w:tcPr>
          <w:p>
            <w:pPr>
              <w:jc w:val="center"/>
              <w:rPr>
                <w:rFonts w:ascii="Times New Roman" w:hAnsi="Times New Roman"/>
              </w:rPr>
            </w:pPr>
            <w:r>
              <w:rPr>
                <w:rFonts w:ascii="Times New Roman" w:hAnsi="Times New Roman"/>
              </w:rPr>
              <w:t>10</w:t>
            </w:r>
          </w:p>
        </w:tc>
      </w:tr>
      <w:tr>
        <w:trPr>
          <w:trHeight w:val="20" w:hRule="atLeast"/>
          <w:jc w:val="center"/>
        </w:trPr>
        <w:tc>
          <w:tcPr>
            <w:tcW w:w="1242" w:type="dxa"/>
            <w:vAlign w:val="center"/>
          </w:tcPr>
          <w:p>
            <w:pPr>
              <w:jc w:val="center"/>
              <w:rPr>
                <w:rFonts w:ascii="Times New Roman" w:hAnsi="Times New Roman"/>
              </w:rPr>
            </w:pPr>
            <w:r>
              <w:rPr>
                <w:rFonts w:ascii="Times New Roman" w:hAnsi="Times New Roman"/>
              </w:rPr>
              <w:t>16</w:t>
            </w:r>
          </w:p>
        </w:tc>
        <w:tc>
          <w:tcPr>
            <w:tcW w:w="2835" w:type="dxa"/>
            <w:vAlign w:val="center"/>
          </w:tcPr>
          <w:p>
            <w:pPr>
              <w:jc w:val="center"/>
              <w:rPr>
                <w:rFonts w:ascii="Times New Roman" w:hAnsi="Times New Roman"/>
              </w:rPr>
            </w:pPr>
            <w:r>
              <w:rPr>
                <w:rFonts w:ascii="Times New Roman" w:hAnsi="Times New Roman"/>
              </w:rPr>
              <w:t>60</w:t>
            </w:r>
          </w:p>
        </w:tc>
        <w:tc>
          <w:tcPr>
            <w:tcW w:w="2783" w:type="dxa"/>
            <w:vAlign w:val="center"/>
          </w:tcPr>
          <w:p>
            <w:pPr>
              <w:jc w:val="center"/>
              <w:rPr>
                <w:rFonts w:ascii="Times New Roman" w:hAnsi="Times New Roman"/>
              </w:rPr>
            </w:pPr>
            <w:r>
              <w:rPr>
                <w:rFonts w:ascii="Times New Roman" w:hAnsi="Times New Roman"/>
              </w:rPr>
              <w:t>40</w:t>
            </w:r>
          </w:p>
        </w:tc>
      </w:tr>
      <w:tr>
        <w:trPr>
          <w:trHeight w:val="20" w:hRule="atLeast"/>
          <w:jc w:val="center"/>
        </w:trPr>
        <w:tc>
          <w:tcPr>
            <w:tcW w:w="1242" w:type="dxa"/>
            <w:vAlign w:val="center"/>
          </w:tcPr>
          <w:p>
            <w:pPr>
              <w:jc w:val="center"/>
              <w:rPr>
                <w:rFonts w:ascii="Times New Roman" w:hAnsi="Times New Roman"/>
              </w:rPr>
            </w:pPr>
            <w:r>
              <w:rPr>
                <w:rFonts w:ascii="Times New Roman" w:hAnsi="Times New Roman"/>
              </w:rPr>
              <w:t>17</w:t>
            </w:r>
          </w:p>
        </w:tc>
        <w:tc>
          <w:tcPr>
            <w:tcW w:w="2835" w:type="dxa"/>
            <w:vAlign w:val="center"/>
          </w:tcPr>
          <w:p>
            <w:pPr>
              <w:jc w:val="center"/>
              <w:rPr>
                <w:rFonts w:ascii="Times New Roman" w:hAnsi="Times New Roman"/>
              </w:rPr>
            </w:pPr>
            <w:r>
              <w:rPr>
                <w:rFonts w:ascii="Times New Roman" w:hAnsi="Times New Roman"/>
              </w:rPr>
              <w:t>20</w:t>
            </w:r>
          </w:p>
        </w:tc>
        <w:tc>
          <w:tcPr>
            <w:tcW w:w="2783" w:type="dxa"/>
            <w:vAlign w:val="center"/>
          </w:tcPr>
          <w:p>
            <w:pPr>
              <w:jc w:val="center"/>
              <w:rPr>
                <w:rFonts w:ascii="Times New Roman" w:hAnsi="Times New Roman"/>
              </w:rPr>
            </w:pPr>
            <w:r>
              <w:rPr>
                <w:rFonts w:ascii="Times New Roman" w:hAnsi="Times New Roman"/>
              </w:rPr>
              <w:t>80</w:t>
            </w:r>
          </w:p>
        </w:tc>
      </w:tr>
      <w:tr>
        <w:trPr>
          <w:trHeight w:val="20" w:hRule="atLeast"/>
          <w:jc w:val="center"/>
        </w:trPr>
        <w:tc>
          <w:tcPr>
            <w:tcW w:w="1242" w:type="dxa"/>
            <w:vAlign w:val="center"/>
          </w:tcPr>
          <w:p>
            <w:pPr>
              <w:jc w:val="center"/>
              <w:rPr>
                <w:rFonts w:ascii="Times New Roman" w:hAnsi="Times New Roman"/>
              </w:rPr>
            </w:pPr>
            <w:r>
              <w:rPr>
                <w:rFonts w:ascii="Times New Roman" w:hAnsi="Times New Roman"/>
              </w:rPr>
              <w:t>19.5</w:t>
            </w:r>
          </w:p>
        </w:tc>
        <w:tc>
          <w:tcPr>
            <w:tcW w:w="2835" w:type="dxa"/>
            <w:vAlign w:val="center"/>
          </w:tcPr>
          <w:p>
            <w:pPr>
              <w:jc w:val="center"/>
              <w:rPr>
                <w:rFonts w:ascii="Times New Roman" w:hAnsi="Times New Roman"/>
              </w:rPr>
            </w:pPr>
            <w:r>
              <w:rPr>
                <w:rFonts w:ascii="Times New Roman" w:hAnsi="Times New Roman"/>
              </w:rPr>
              <w:t>20</w:t>
            </w:r>
          </w:p>
        </w:tc>
        <w:tc>
          <w:tcPr>
            <w:tcW w:w="2783" w:type="dxa"/>
            <w:vAlign w:val="center"/>
          </w:tcPr>
          <w:p>
            <w:pPr>
              <w:jc w:val="center"/>
              <w:rPr>
                <w:rFonts w:ascii="Times New Roman" w:hAnsi="Times New Roman"/>
              </w:rPr>
            </w:pPr>
            <w:r>
              <w:rPr>
                <w:rFonts w:ascii="Times New Roman" w:hAnsi="Times New Roman"/>
              </w:rPr>
              <w:t>80</w:t>
            </w:r>
          </w:p>
        </w:tc>
      </w:tr>
      <w:tr>
        <w:trPr>
          <w:trHeight w:val="20" w:hRule="atLeast"/>
          <w:jc w:val="center"/>
        </w:trPr>
        <w:tc>
          <w:tcPr>
            <w:tcW w:w="1242" w:type="dxa"/>
            <w:vAlign w:val="center"/>
          </w:tcPr>
          <w:p>
            <w:pPr>
              <w:jc w:val="center"/>
              <w:rPr>
                <w:rFonts w:ascii="Times New Roman" w:hAnsi="Times New Roman"/>
              </w:rPr>
            </w:pPr>
            <w:r>
              <w:rPr>
                <w:rFonts w:ascii="Times New Roman" w:hAnsi="Times New Roman"/>
              </w:rPr>
              <w:t>19.6</w:t>
            </w:r>
          </w:p>
        </w:tc>
        <w:tc>
          <w:tcPr>
            <w:tcW w:w="2835" w:type="dxa"/>
            <w:vAlign w:val="center"/>
          </w:tcPr>
          <w:p>
            <w:pPr>
              <w:jc w:val="center"/>
              <w:rPr>
                <w:rFonts w:ascii="Times New Roman" w:hAnsi="Times New Roman"/>
              </w:rPr>
            </w:pPr>
            <w:r>
              <w:rPr>
                <w:rFonts w:ascii="Times New Roman" w:hAnsi="Times New Roman"/>
              </w:rPr>
              <w:t>97</w:t>
            </w:r>
          </w:p>
        </w:tc>
        <w:tc>
          <w:tcPr>
            <w:tcW w:w="2783" w:type="dxa"/>
            <w:vAlign w:val="center"/>
          </w:tcPr>
          <w:p>
            <w:pPr>
              <w:jc w:val="center"/>
              <w:rPr>
                <w:rFonts w:ascii="Times New Roman" w:hAnsi="Times New Roman"/>
              </w:rPr>
            </w:pPr>
            <w:r>
              <w:rPr>
                <w:rFonts w:ascii="Times New Roman" w:hAnsi="Times New Roman"/>
              </w:rPr>
              <w:t>3</w:t>
            </w:r>
          </w:p>
        </w:tc>
      </w:tr>
      <w:tr>
        <w:trPr>
          <w:trHeight w:val="20" w:hRule="atLeast"/>
          <w:jc w:val="center"/>
        </w:trPr>
        <w:tc>
          <w:tcPr>
            <w:tcW w:w="1242" w:type="dxa"/>
            <w:vAlign w:val="center"/>
          </w:tcPr>
          <w:p>
            <w:pPr>
              <w:jc w:val="center"/>
              <w:rPr>
                <w:rFonts w:ascii="Times New Roman" w:hAnsi="Times New Roman"/>
              </w:rPr>
            </w:pPr>
            <w:r>
              <w:rPr>
                <w:rFonts w:ascii="Times New Roman" w:hAnsi="Times New Roman"/>
              </w:rPr>
              <w:t>25</w:t>
            </w:r>
          </w:p>
        </w:tc>
        <w:tc>
          <w:tcPr>
            <w:tcW w:w="2835" w:type="dxa"/>
            <w:vAlign w:val="center"/>
          </w:tcPr>
          <w:p>
            <w:pPr>
              <w:jc w:val="center"/>
              <w:rPr>
                <w:rFonts w:ascii="Times New Roman" w:hAnsi="Times New Roman"/>
              </w:rPr>
            </w:pPr>
            <w:r>
              <w:rPr>
                <w:rFonts w:ascii="Times New Roman" w:hAnsi="Times New Roman"/>
              </w:rPr>
              <w:t>97</w:t>
            </w:r>
          </w:p>
        </w:tc>
        <w:tc>
          <w:tcPr>
            <w:tcW w:w="2783" w:type="dxa"/>
            <w:vAlign w:val="center"/>
          </w:tcPr>
          <w:p>
            <w:pPr>
              <w:jc w:val="center"/>
              <w:rPr>
                <w:rFonts w:ascii="Times New Roman" w:hAnsi="Times New Roman"/>
              </w:rPr>
            </w:pPr>
            <w:r>
              <w:rPr>
                <w:rFonts w:ascii="Times New Roman" w:hAnsi="Times New Roman"/>
              </w:rPr>
              <w:t>3</w:t>
            </w:r>
          </w:p>
        </w:tc>
      </w:tr>
    </w:tbl>
    <w:p>
      <w:pPr>
        <w:pStyle w:val="106"/>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质谱条件参考信息</w:t>
      </w:r>
    </w:p>
    <w:p>
      <w:pPr>
        <w:pStyle w:val="231"/>
        <w:rPr>
          <w:color w:val="000000" w:themeColor="text1"/>
          <w14:textFill>
            <w14:solidFill>
              <w14:schemeClr w14:val="tx1"/>
            </w14:solidFill>
          </w14:textFill>
        </w:rPr>
      </w:pPr>
      <w:r>
        <w:rPr>
          <w:rFonts w:hint="eastAsia"/>
          <w:color w:val="000000" w:themeColor="text1"/>
          <w14:textFill>
            <w14:solidFill>
              <w14:schemeClr w14:val="tx1"/>
            </w14:solidFill>
          </w14:textFill>
        </w:rPr>
        <w:t>扫描模式：ESI+；扫描类型：MRM；离子源电压：3500 V；鞘气流速：35 Arb；辅助气流速：15 Arb；毛细管温度：275 ℃；鞘气温度：380℃；碰撞气压力：1.5 mTorr；分辨率：0.7；物种专属性多肽离子信息如表2所示。</w:t>
      </w:r>
    </w:p>
    <w:p>
      <w:pPr>
        <w:pStyle w:val="231"/>
        <w:ind w:firstLine="0" w:firstLine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表2 多肽的离子对信息及碰撞能量参考信息</w:t>
      </w:r>
    </w:p>
    <w:tbl>
      <w:tblPr>
        <w:tblStyle w:val="245"/>
        <w:tblW w:w="8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747"/>
        <w:gridCol w:w="3285"/>
        <w:gridCol w:w="964"/>
        <w:gridCol w:w="1862"/>
        <w:gridCol w:w="1077"/>
      </w:tblGrid>
      <w:tr>
        <w:trPr>
          <w:trHeight w:val="20" w:hRule="atLeast"/>
          <w:jc w:val="center"/>
        </w:trPr>
        <w:tc>
          <w:tcPr>
            <w:tcW w:w="770" w:type="dxa"/>
            <w:tcBorders>
              <w:bottom w:val="nil"/>
            </w:tcBorders>
            <w:vAlign w:val="center"/>
          </w:tcPr>
          <w:p>
            <w:pPr>
              <w:widowControl/>
              <w:adjustRightInd/>
              <w:spacing w:line="240" w:lineRule="auto"/>
              <w:jc w:val="center"/>
              <w:rPr>
                <w:rFonts w:ascii="Times New Roman" w:hAnsi="Times New Roman"/>
                <w:b/>
                <w:bCs/>
                <w:color w:val="000000" w:themeColor="text1"/>
                <w:kern w:val="24"/>
                <w14:textFill>
                  <w14:solidFill>
                    <w14:schemeClr w14:val="tx1"/>
                  </w14:solidFill>
                </w14:textFill>
              </w:rPr>
            </w:pPr>
            <w:r>
              <w:rPr>
                <w:rFonts w:hint="eastAsia" w:ascii="Times New Roman" w:hAnsi="Times New Roman"/>
                <w:b/>
                <w:bCs/>
                <w:color w:val="000000" w:themeColor="text1"/>
                <w:kern w:val="24"/>
                <w14:textFill>
                  <w14:solidFill>
                    <w14:schemeClr w14:val="tx1"/>
                  </w14:solidFill>
                </w14:textFill>
              </w:rPr>
              <w:t>物种</w:t>
            </w:r>
          </w:p>
        </w:tc>
        <w:tc>
          <w:tcPr>
            <w:tcW w:w="747" w:type="dxa"/>
            <w:tcBorders>
              <w:bottom w:val="nil"/>
            </w:tcBorders>
            <w:vAlign w:val="center"/>
          </w:tcPr>
          <w:p>
            <w:pPr>
              <w:widowControl/>
              <w:adjustRightInd/>
              <w:spacing w:line="240" w:lineRule="auto"/>
              <w:jc w:val="center"/>
              <w:rPr>
                <w:rFonts w:ascii="Times New Roman" w:hAnsi="Times New Roman"/>
                <w:b/>
                <w:bCs/>
                <w:color w:val="000000" w:themeColor="text1"/>
                <w:kern w:val="24"/>
                <w14:textFill>
                  <w14:solidFill>
                    <w14:schemeClr w14:val="tx1"/>
                  </w14:solidFill>
                </w14:textFill>
              </w:rPr>
            </w:pPr>
            <w:r>
              <w:rPr>
                <w:rFonts w:hint="eastAsia" w:ascii="Times New Roman" w:hAnsi="Times New Roman"/>
                <w:b/>
                <w:bCs/>
                <w:color w:val="000000" w:themeColor="text1"/>
                <w:kern w:val="24"/>
                <w14:textFill>
                  <w14:solidFill>
                    <w14:schemeClr w14:val="tx1"/>
                  </w14:solidFill>
                </w14:textFill>
              </w:rPr>
              <w:t>多肽</w:t>
            </w:r>
          </w:p>
        </w:tc>
        <w:tc>
          <w:tcPr>
            <w:tcW w:w="3285" w:type="dxa"/>
            <w:tcBorders>
              <w:bottom w:val="nil"/>
            </w:tcBorders>
            <w:vAlign w:val="center"/>
          </w:tcPr>
          <w:p>
            <w:pPr>
              <w:widowControl/>
              <w:adjustRightInd/>
              <w:spacing w:line="240" w:lineRule="auto"/>
              <w:jc w:val="center"/>
              <w:rPr>
                <w:rFonts w:ascii="Times New Roman" w:hAnsi="Times New Roman"/>
                <w:b/>
                <w:bCs/>
                <w:color w:val="000000" w:themeColor="text1"/>
                <w:kern w:val="24"/>
                <w14:textFill>
                  <w14:solidFill>
                    <w14:schemeClr w14:val="tx1"/>
                  </w14:solidFill>
                </w14:textFill>
              </w:rPr>
            </w:pPr>
            <w:r>
              <w:rPr>
                <w:rFonts w:hint="eastAsia" w:ascii="Times New Roman" w:hAnsi="Times New Roman"/>
                <w:b/>
                <w:bCs/>
                <w:color w:val="000000" w:themeColor="text1"/>
                <w:kern w:val="24"/>
                <w14:textFill>
                  <w14:solidFill>
                    <w14:schemeClr w14:val="tx1"/>
                  </w14:solidFill>
                </w14:textFill>
              </w:rPr>
              <w:t>多肽序列</w:t>
            </w:r>
          </w:p>
        </w:tc>
        <w:tc>
          <w:tcPr>
            <w:tcW w:w="964" w:type="dxa"/>
            <w:tcBorders>
              <w:bottom w:val="nil"/>
            </w:tcBorders>
            <w:vAlign w:val="center"/>
          </w:tcPr>
          <w:p>
            <w:pPr>
              <w:widowControl/>
              <w:adjustRightInd/>
              <w:spacing w:line="240" w:lineRule="auto"/>
              <w:jc w:val="center"/>
              <w:rPr>
                <w:rFonts w:ascii="Times New Roman" w:hAnsi="Times New Roman"/>
                <w:b/>
                <w:bCs/>
                <w:color w:val="000000" w:themeColor="text1"/>
                <w:kern w:val="24"/>
                <w14:textFill>
                  <w14:solidFill>
                    <w14:schemeClr w14:val="tx1"/>
                  </w14:solidFill>
                </w14:textFill>
              </w:rPr>
            </w:pPr>
            <w:r>
              <w:rPr>
                <w:rFonts w:hint="eastAsia" w:ascii="Times New Roman" w:hAnsi="Times New Roman"/>
                <w:b/>
                <w:bCs/>
                <w:color w:val="000000" w:themeColor="text1"/>
                <w:kern w:val="24"/>
                <w14:textFill>
                  <w14:solidFill>
                    <w14:schemeClr w14:val="tx1"/>
                  </w14:solidFill>
                </w14:textFill>
              </w:rPr>
              <w:t>母离子</w:t>
            </w:r>
          </w:p>
        </w:tc>
        <w:tc>
          <w:tcPr>
            <w:tcW w:w="1862" w:type="dxa"/>
            <w:tcBorders>
              <w:bottom w:val="nil"/>
            </w:tcBorders>
            <w:vAlign w:val="center"/>
          </w:tcPr>
          <w:p>
            <w:pPr>
              <w:widowControl/>
              <w:adjustRightInd/>
              <w:spacing w:line="240" w:lineRule="auto"/>
              <w:jc w:val="center"/>
              <w:rPr>
                <w:rFonts w:ascii="Times New Roman" w:hAnsi="Times New Roman"/>
                <w:b/>
                <w:bCs/>
                <w:color w:val="000000" w:themeColor="text1"/>
                <w:kern w:val="24"/>
                <w14:textFill>
                  <w14:solidFill>
                    <w14:schemeClr w14:val="tx1"/>
                  </w14:solidFill>
                </w14:textFill>
              </w:rPr>
            </w:pPr>
            <w:r>
              <w:rPr>
                <w:rFonts w:hint="eastAsia" w:ascii="Times New Roman" w:hAnsi="Times New Roman"/>
                <w:b/>
                <w:bCs/>
                <w:color w:val="000000" w:themeColor="text1"/>
                <w:kern w:val="24"/>
                <w14:textFill>
                  <w14:solidFill>
                    <w14:schemeClr w14:val="tx1"/>
                  </w14:solidFill>
                </w14:textFill>
              </w:rPr>
              <w:t>子离子</w:t>
            </w:r>
          </w:p>
        </w:tc>
        <w:tc>
          <w:tcPr>
            <w:tcW w:w="1077" w:type="dxa"/>
            <w:tcBorders>
              <w:bottom w:val="nil"/>
            </w:tcBorders>
            <w:vAlign w:val="center"/>
          </w:tcPr>
          <w:p>
            <w:pPr>
              <w:widowControl/>
              <w:adjustRightInd/>
              <w:spacing w:line="240" w:lineRule="auto"/>
              <w:jc w:val="center"/>
              <w:rPr>
                <w:rFonts w:ascii="Times New Roman" w:hAnsi="Times New Roman"/>
                <w:b/>
                <w:bCs/>
                <w:color w:val="000000" w:themeColor="text1"/>
                <w:kern w:val="24"/>
                <w14:textFill>
                  <w14:solidFill>
                    <w14:schemeClr w14:val="tx1"/>
                  </w14:solidFill>
                </w14:textFill>
              </w:rPr>
            </w:pPr>
            <w:r>
              <w:rPr>
                <w:rFonts w:hint="eastAsia" w:ascii="Times New Roman" w:hAnsi="Times New Roman"/>
                <w:b/>
                <w:bCs/>
                <w:color w:val="000000" w:themeColor="text1"/>
                <w:kern w:val="24"/>
                <w14:textFill>
                  <w14:solidFill>
                    <w14:schemeClr w14:val="tx1"/>
                  </w14:solidFill>
                </w14:textFill>
              </w:rPr>
              <w:t>碰撞能量（eV）</w:t>
            </w:r>
          </w:p>
        </w:tc>
      </w:tr>
      <w:tr>
        <w:trPr>
          <w:trHeight w:val="20" w:hRule="atLeast"/>
          <w:jc w:val="center"/>
        </w:trPr>
        <w:tc>
          <w:tcPr>
            <w:tcW w:w="770" w:type="dxa"/>
            <w:vMerge w:val="restart"/>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大豆</w:t>
            </w:r>
          </w:p>
        </w:tc>
        <w:tc>
          <w:tcPr>
            <w:tcW w:w="747"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Pep1</w:t>
            </w:r>
          </w:p>
        </w:tc>
        <w:tc>
          <w:tcPr>
            <w:tcW w:w="3285"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LQSGDALR</w:t>
            </w:r>
          </w:p>
        </w:tc>
        <w:tc>
          <w:tcPr>
            <w:tcW w:w="964"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430.2</w:t>
            </w:r>
          </w:p>
        </w:tc>
        <w:tc>
          <w:tcPr>
            <w:tcW w:w="1862"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359.2/618.3/729.3</w:t>
            </w:r>
          </w:p>
        </w:tc>
        <w:tc>
          <w:tcPr>
            <w:tcW w:w="1077"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20</w:t>
            </w:r>
          </w:p>
        </w:tc>
      </w:tr>
      <w:tr>
        <w:trPr>
          <w:trHeight w:val="20" w:hRule="atLeast"/>
          <w:jc w:val="center"/>
        </w:trPr>
        <w:tc>
          <w:tcPr>
            <w:tcW w:w="770" w:type="dxa"/>
            <w:vMerge w:val="continue"/>
            <w:vAlign w:val="center"/>
          </w:tcPr>
          <w:p>
            <w:pPr>
              <w:widowControl/>
              <w:adjustRightInd/>
              <w:spacing w:line="240" w:lineRule="auto"/>
              <w:jc w:val="center"/>
              <w:rPr>
                <w:rFonts w:ascii="Times New Roman" w:hAnsi="Times New Roman"/>
                <w:kern w:val="0"/>
              </w:rPr>
            </w:pPr>
          </w:p>
        </w:tc>
        <w:tc>
          <w:tcPr>
            <w:tcW w:w="747"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Pep2</w:t>
            </w:r>
          </w:p>
        </w:tc>
        <w:tc>
          <w:tcPr>
            <w:tcW w:w="3285"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NILEASYDTK</w:t>
            </w:r>
          </w:p>
        </w:tc>
        <w:tc>
          <w:tcPr>
            <w:tcW w:w="964"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577.3</w:t>
            </w:r>
          </w:p>
        </w:tc>
        <w:tc>
          <w:tcPr>
            <w:tcW w:w="1862"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926.4/813.4/684.3</w:t>
            </w:r>
          </w:p>
        </w:tc>
        <w:tc>
          <w:tcPr>
            <w:tcW w:w="1077"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24</w:t>
            </w:r>
          </w:p>
        </w:tc>
      </w:tr>
      <w:tr>
        <w:trPr>
          <w:trHeight w:val="20" w:hRule="atLeast"/>
          <w:jc w:val="center"/>
        </w:trPr>
        <w:tc>
          <w:tcPr>
            <w:tcW w:w="770" w:type="dxa"/>
            <w:vMerge w:val="restart"/>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豌豆</w:t>
            </w:r>
          </w:p>
        </w:tc>
        <w:tc>
          <w:tcPr>
            <w:tcW w:w="747"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Pep3</w:t>
            </w:r>
          </w:p>
        </w:tc>
        <w:tc>
          <w:tcPr>
            <w:tcW w:w="3285"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ELAFPGSSHEVDR</w:t>
            </w:r>
          </w:p>
        </w:tc>
        <w:tc>
          <w:tcPr>
            <w:tcW w:w="964"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481.9</w:t>
            </w:r>
          </w:p>
        </w:tc>
        <w:tc>
          <w:tcPr>
            <w:tcW w:w="1862"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328.5/443.7/492.2</w:t>
            </w:r>
          </w:p>
        </w:tc>
        <w:tc>
          <w:tcPr>
            <w:tcW w:w="1077"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21</w:t>
            </w:r>
          </w:p>
        </w:tc>
      </w:tr>
      <w:tr>
        <w:trPr>
          <w:trHeight w:val="20" w:hRule="atLeast"/>
          <w:jc w:val="center"/>
        </w:trPr>
        <w:tc>
          <w:tcPr>
            <w:tcW w:w="770" w:type="dxa"/>
            <w:vMerge w:val="continue"/>
            <w:vAlign w:val="center"/>
          </w:tcPr>
          <w:p>
            <w:pPr>
              <w:widowControl/>
              <w:adjustRightInd/>
              <w:spacing w:line="240" w:lineRule="auto"/>
              <w:jc w:val="center"/>
              <w:rPr>
                <w:rFonts w:ascii="Times New Roman" w:hAnsi="Times New Roman"/>
                <w:kern w:val="0"/>
              </w:rPr>
            </w:pPr>
          </w:p>
        </w:tc>
        <w:tc>
          <w:tcPr>
            <w:tcW w:w="747"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Pep4</w:t>
            </w:r>
          </w:p>
        </w:tc>
        <w:tc>
          <w:tcPr>
            <w:tcW w:w="3285"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NILEASFNTDYEEIEK</w:t>
            </w:r>
          </w:p>
        </w:tc>
        <w:tc>
          <w:tcPr>
            <w:tcW w:w="964"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957.9</w:t>
            </w:r>
          </w:p>
        </w:tc>
        <w:tc>
          <w:tcPr>
            <w:tcW w:w="1862"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228.1/341.2/1140.5</w:t>
            </w:r>
          </w:p>
        </w:tc>
        <w:tc>
          <w:tcPr>
            <w:tcW w:w="1077"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31</w:t>
            </w:r>
          </w:p>
        </w:tc>
      </w:tr>
      <w:tr>
        <w:trPr>
          <w:trHeight w:val="20" w:hRule="atLeast"/>
          <w:jc w:val="center"/>
        </w:trPr>
        <w:tc>
          <w:tcPr>
            <w:tcW w:w="770" w:type="dxa"/>
            <w:vMerge w:val="restart"/>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花生</w:t>
            </w:r>
          </w:p>
        </w:tc>
        <w:tc>
          <w:tcPr>
            <w:tcW w:w="747"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Pep5</w:t>
            </w:r>
          </w:p>
        </w:tc>
        <w:tc>
          <w:tcPr>
            <w:tcW w:w="3285"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TANDLNLLILR</w:t>
            </w:r>
          </w:p>
        </w:tc>
        <w:tc>
          <w:tcPr>
            <w:tcW w:w="964"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628.4</w:t>
            </w:r>
          </w:p>
        </w:tc>
        <w:tc>
          <w:tcPr>
            <w:tcW w:w="1862"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514.4/741.5/1083.6</w:t>
            </w:r>
          </w:p>
        </w:tc>
        <w:tc>
          <w:tcPr>
            <w:tcW w:w="1077"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25</w:t>
            </w:r>
          </w:p>
        </w:tc>
      </w:tr>
      <w:tr>
        <w:trPr>
          <w:trHeight w:val="20" w:hRule="atLeast"/>
          <w:jc w:val="center"/>
        </w:trPr>
        <w:tc>
          <w:tcPr>
            <w:tcW w:w="770" w:type="dxa"/>
            <w:vMerge w:val="continue"/>
            <w:vAlign w:val="center"/>
          </w:tcPr>
          <w:p>
            <w:pPr>
              <w:widowControl/>
              <w:adjustRightInd/>
              <w:spacing w:line="240" w:lineRule="auto"/>
              <w:jc w:val="center"/>
              <w:rPr>
                <w:rFonts w:ascii="Times New Roman" w:hAnsi="Times New Roman"/>
                <w:kern w:val="0"/>
              </w:rPr>
            </w:pPr>
          </w:p>
        </w:tc>
        <w:tc>
          <w:tcPr>
            <w:tcW w:w="747"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Pep6</w:t>
            </w:r>
          </w:p>
        </w:tc>
        <w:tc>
          <w:tcPr>
            <w:tcW w:w="3285"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TANELNLLILR</w:t>
            </w:r>
          </w:p>
        </w:tc>
        <w:tc>
          <w:tcPr>
            <w:tcW w:w="964"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635.4</w:t>
            </w:r>
          </w:p>
        </w:tc>
        <w:tc>
          <w:tcPr>
            <w:tcW w:w="1862"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741.5/854.6/1097.7</w:t>
            </w:r>
          </w:p>
        </w:tc>
        <w:tc>
          <w:tcPr>
            <w:tcW w:w="1077"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25</w:t>
            </w:r>
          </w:p>
        </w:tc>
      </w:tr>
      <w:tr>
        <w:trPr>
          <w:trHeight w:val="20" w:hRule="atLeast"/>
          <w:jc w:val="center"/>
        </w:trPr>
        <w:tc>
          <w:tcPr>
            <w:tcW w:w="770" w:type="dxa"/>
            <w:vMerge w:val="restart"/>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小麦</w:t>
            </w:r>
          </w:p>
        </w:tc>
        <w:tc>
          <w:tcPr>
            <w:tcW w:w="747"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Pep7</w:t>
            </w:r>
          </w:p>
        </w:tc>
        <w:tc>
          <w:tcPr>
            <w:tcW w:w="3285"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APFASIVAGIGGQ</w:t>
            </w:r>
          </w:p>
        </w:tc>
        <w:tc>
          <w:tcPr>
            <w:tcW w:w="964"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594.3</w:t>
            </w:r>
          </w:p>
        </w:tc>
        <w:tc>
          <w:tcPr>
            <w:tcW w:w="1862"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204.1/261.1/316.2</w:t>
            </w:r>
          </w:p>
        </w:tc>
        <w:tc>
          <w:tcPr>
            <w:tcW w:w="1077"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24</w:t>
            </w:r>
          </w:p>
        </w:tc>
      </w:tr>
      <w:tr>
        <w:trPr>
          <w:trHeight w:val="20" w:hRule="atLeast"/>
          <w:jc w:val="center"/>
        </w:trPr>
        <w:tc>
          <w:tcPr>
            <w:tcW w:w="770" w:type="dxa"/>
            <w:vMerge w:val="continue"/>
            <w:vAlign w:val="center"/>
          </w:tcPr>
          <w:p>
            <w:pPr>
              <w:widowControl/>
              <w:adjustRightInd/>
              <w:spacing w:line="240" w:lineRule="auto"/>
              <w:jc w:val="center"/>
              <w:rPr>
                <w:rFonts w:ascii="Times New Roman" w:hAnsi="Times New Roman"/>
                <w:kern w:val="0"/>
              </w:rPr>
            </w:pPr>
          </w:p>
        </w:tc>
        <w:tc>
          <w:tcPr>
            <w:tcW w:w="747"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Pep8</w:t>
            </w:r>
          </w:p>
        </w:tc>
        <w:tc>
          <w:tcPr>
            <w:tcW w:w="3285"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VFLQQQCSPVAMPQSLAR</w:t>
            </w:r>
          </w:p>
        </w:tc>
        <w:tc>
          <w:tcPr>
            <w:tcW w:w="964"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687.3</w:t>
            </w:r>
          </w:p>
        </w:tc>
        <w:tc>
          <w:tcPr>
            <w:tcW w:w="1862"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336.2/671.4/873.5</w:t>
            </w:r>
          </w:p>
        </w:tc>
        <w:tc>
          <w:tcPr>
            <w:tcW w:w="1077"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26</w:t>
            </w:r>
          </w:p>
        </w:tc>
      </w:tr>
      <w:tr>
        <w:trPr>
          <w:trHeight w:val="20" w:hRule="atLeast"/>
          <w:jc w:val="center"/>
        </w:trPr>
        <w:tc>
          <w:tcPr>
            <w:tcW w:w="770" w:type="dxa"/>
            <w:vMerge w:val="restart"/>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蛋清</w:t>
            </w:r>
          </w:p>
        </w:tc>
        <w:tc>
          <w:tcPr>
            <w:tcW w:w="747"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Pep9</w:t>
            </w:r>
          </w:p>
        </w:tc>
        <w:tc>
          <w:tcPr>
            <w:tcW w:w="3285"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ISQAVHAAHAEINEAGR</w:t>
            </w:r>
          </w:p>
        </w:tc>
        <w:tc>
          <w:tcPr>
            <w:tcW w:w="964"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444.2</w:t>
            </w:r>
          </w:p>
        </w:tc>
        <w:tc>
          <w:tcPr>
            <w:tcW w:w="1862"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303.2/546.3/659.3</w:t>
            </w:r>
          </w:p>
        </w:tc>
        <w:tc>
          <w:tcPr>
            <w:tcW w:w="1077"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20</w:t>
            </w:r>
          </w:p>
        </w:tc>
      </w:tr>
      <w:tr>
        <w:trPr>
          <w:trHeight w:val="20" w:hRule="atLeast"/>
          <w:jc w:val="center"/>
        </w:trPr>
        <w:tc>
          <w:tcPr>
            <w:tcW w:w="770" w:type="dxa"/>
            <w:vMerge w:val="continue"/>
            <w:vAlign w:val="center"/>
          </w:tcPr>
          <w:p>
            <w:pPr>
              <w:widowControl/>
              <w:adjustRightInd/>
              <w:spacing w:line="240" w:lineRule="auto"/>
              <w:jc w:val="center"/>
              <w:rPr>
                <w:rFonts w:ascii="Times New Roman" w:hAnsi="Times New Roman"/>
                <w:kern w:val="0"/>
              </w:rPr>
            </w:pPr>
          </w:p>
        </w:tc>
        <w:tc>
          <w:tcPr>
            <w:tcW w:w="747"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Pep10</w:t>
            </w:r>
          </w:p>
        </w:tc>
        <w:tc>
          <w:tcPr>
            <w:tcW w:w="3285"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DYVLVPCK</w:t>
            </w:r>
          </w:p>
        </w:tc>
        <w:tc>
          <w:tcPr>
            <w:tcW w:w="964"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497.2</w:t>
            </w:r>
          </w:p>
        </w:tc>
        <w:tc>
          <w:tcPr>
            <w:tcW w:w="1862"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279.1/404.2/616.3</w:t>
            </w:r>
          </w:p>
        </w:tc>
        <w:tc>
          <w:tcPr>
            <w:tcW w:w="1077"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21</w:t>
            </w:r>
          </w:p>
        </w:tc>
      </w:tr>
      <w:tr>
        <w:trPr>
          <w:trHeight w:val="20" w:hRule="atLeast"/>
          <w:jc w:val="center"/>
        </w:trPr>
        <w:tc>
          <w:tcPr>
            <w:tcW w:w="770" w:type="dxa"/>
            <w:vMerge w:val="restart"/>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蛋黄</w:t>
            </w:r>
          </w:p>
        </w:tc>
        <w:tc>
          <w:tcPr>
            <w:tcW w:w="747" w:type="dxa"/>
            <w:tcBorders>
              <w:top w:val="nil"/>
              <w:bottom w:val="nil"/>
            </w:tcBorders>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Pep11</w:t>
            </w:r>
          </w:p>
        </w:tc>
        <w:tc>
          <w:tcPr>
            <w:tcW w:w="3285" w:type="dxa"/>
            <w:tcBorders>
              <w:top w:val="nil"/>
              <w:bottom w:val="nil"/>
            </w:tcBorders>
          </w:tcPr>
          <w:p>
            <w:pPr>
              <w:widowControl/>
              <w:adjustRightInd/>
              <w:spacing w:line="240" w:lineRule="auto"/>
              <w:jc w:val="center"/>
              <w:rPr>
                <w:rFonts w:ascii="Times New Roman" w:hAnsi="Times New Roman"/>
                <w:color w:val="000000" w:themeColor="text1"/>
                <w:kern w:val="24"/>
                <w14:textFill>
                  <w14:solidFill>
                    <w14:schemeClr w14:val="tx1"/>
                  </w14:solidFill>
                </w14:textFill>
              </w:rPr>
            </w:pPr>
            <w:r>
              <w:rPr>
                <w:rFonts w:ascii="Times New Roman" w:hAnsi="Times New Roman"/>
                <w:color w:val="000000" w:themeColor="text1"/>
                <w:kern w:val="24"/>
                <w14:textFill>
                  <w14:solidFill>
                    <w14:schemeClr w14:val="tx1"/>
                  </w14:solidFill>
                </w14:textFill>
              </w:rPr>
              <w:t>QSDSGTLITDVSSR</w:t>
            </w:r>
          </w:p>
        </w:tc>
        <w:tc>
          <w:tcPr>
            <w:tcW w:w="964" w:type="dxa"/>
            <w:tcBorders>
              <w:top w:val="nil"/>
              <w:bottom w:val="nil"/>
            </w:tcBorders>
          </w:tcPr>
          <w:p>
            <w:pPr>
              <w:widowControl/>
              <w:adjustRightInd/>
              <w:spacing w:line="240" w:lineRule="auto"/>
              <w:jc w:val="center"/>
              <w:rPr>
                <w:rFonts w:ascii="Times New Roman" w:hAnsi="Times New Roman"/>
                <w:color w:val="000000" w:themeColor="text1"/>
                <w:kern w:val="24"/>
                <w14:textFill>
                  <w14:solidFill>
                    <w14:schemeClr w14:val="tx1"/>
                  </w14:solidFill>
                </w14:textFill>
              </w:rPr>
            </w:pPr>
            <w:r>
              <w:rPr>
                <w:rFonts w:ascii="Times New Roman" w:hAnsi="Times New Roman"/>
                <w:color w:val="000000" w:themeColor="text1"/>
                <w:kern w:val="24"/>
                <w14:textFill>
                  <w14:solidFill>
                    <w14:schemeClr w14:val="tx1"/>
                  </w14:solidFill>
                </w14:textFill>
              </w:rPr>
              <w:t>733.4</w:t>
            </w:r>
          </w:p>
        </w:tc>
        <w:tc>
          <w:tcPr>
            <w:tcW w:w="1862" w:type="dxa"/>
            <w:tcBorders>
              <w:top w:val="nil"/>
              <w:bottom w:val="nil"/>
            </w:tcBorders>
          </w:tcPr>
          <w:p>
            <w:pPr>
              <w:widowControl/>
              <w:adjustRightInd/>
              <w:spacing w:line="240" w:lineRule="auto"/>
              <w:jc w:val="center"/>
              <w:rPr>
                <w:rFonts w:ascii="Times New Roman" w:hAnsi="Times New Roman"/>
                <w:color w:val="000000" w:themeColor="text1"/>
                <w:kern w:val="24"/>
                <w14:textFill>
                  <w14:solidFill>
                    <w14:schemeClr w14:val="tx1"/>
                  </w14:solidFill>
                </w14:textFill>
              </w:rPr>
            </w:pPr>
            <w:r>
              <w:rPr>
                <w:rFonts w:ascii="Times New Roman" w:hAnsi="Times New Roman"/>
                <w:color w:val="000000" w:themeColor="text1"/>
                <w:kern w:val="24"/>
                <w14:textFill>
                  <w14:solidFill>
                    <w14:schemeClr w14:val="tx1"/>
                  </w14:solidFill>
                </w14:textFill>
              </w:rPr>
              <w:t>664.3/777.4/890.5</w:t>
            </w:r>
          </w:p>
        </w:tc>
        <w:tc>
          <w:tcPr>
            <w:tcW w:w="1077" w:type="dxa"/>
            <w:tcBorders>
              <w:top w:val="nil"/>
              <w:bottom w:val="nil"/>
            </w:tcBorders>
          </w:tcPr>
          <w:p>
            <w:pPr>
              <w:widowControl/>
              <w:adjustRightInd/>
              <w:spacing w:line="240" w:lineRule="auto"/>
              <w:jc w:val="center"/>
              <w:rPr>
                <w:rFonts w:ascii="Times New Roman" w:hAnsi="Times New Roman"/>
                <w:color w:val="000000" w:themeColor="text1"/>
                <w:kern w:val="24"/>
                <w14:textFill>
                  <w14:solidFill>
                    <w14:schemeClr w14:val="tx1"/>
                  </w14:solidFill>
                </w14:textFill>
              </w:rPr>
            </w:pPr>
            <w:r>
              <w:rPr>
                <w:rFonts w:ascii="Times New Roman" w:hAnsi="Times New Roman"/>
                <w:color w:val="000000" w:themeColor="text1"/>
                <w:kern w:val="24"/>
                <w14:textFill>
                  <w14:solidFill>
                    <w14:schemeClr w14:val="tx1"/>
                  </w14:solidFill>
                </w14:textFill>
              </w:rPr>
              <w:t>26</w:t>
            </w:r>
          </w:p>
        </w:tc>
      </w:tr>
      <w:tr>
        <w:trPr>
          <w:trHeight w:val="20" w:hRule="atLeast"/>
          <w:jc w:val="center"/>
        </w:trPr>
        <w:tc>
          <w:tcPr>
            <w:tcW w:w="770" w:type="dxa"/>
            <w:vMerge w:val="continue"/>
            <w:vAlign w:val="center"/>
          </w:tcPr>
          <w:p>
            <w:pPr>
              <w:widowControl/>
              <w:adjustRightInd/>
              <w:spacing w:line="240" w:lineRule="auto"/>
              <w:jc w:val="center"/>
              <w:rPr>
                <w:rFonts w:ascii="Times New Roman" w:hAnsi="Times New Roman"/>
                <w:kern w:val="0"/>
              </w:rPr>
            </w:pPr>
          </w:p>
        </w:tc>
        <w:tc>
          <w:tcPr>
            <w:tcW w:w="747"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Pep12</w:t>
            </w:r>
          </w:p>
        </w:tc>
        <w:tc>
          <w:tcPr>
            <w:tcW w:w="3285"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FLPISSSSAADIPVHIQIDAITALK</w:t>
            </w:r>
          </w:p>
        </w:tc>
        <w:tc>
          <w:tcPr>
            <w:tcW w:w="964"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869.8</w:t>
            </w:r>
          </w:p>
        </w:tc>
        <w:tc>
          <w:tcPr>
            <w:tcW w:w="1862"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766.5/783.4/1069.1</w:t>
            </w:r>
          </w:p>
        </w:tc>
        <w:tc>
          <w:tcPr>
            <w:tcW w:w="1077" w:type="dxa"/>
            <w:vAlign w:val="center"/>
          </w:tcPr>
          <w:p>
            <w:pPr>
              <w:widowControl/>
              <w:adjustRightInd/>
              <w:spacing w:line="240" w:lineRule="auto"/>
              <w:jc w:val="center"/>
              <w:rPr>
                <w:rFonts w:ascii="Times New Roman" w:hAnsi="Times New Roman"/>
                <w:kern w:val="0"/>
              </w:rPr>
            </w:pPr>
            <w:r>
              <w:rPr>
                <w:rFonts w:ascii="Times New Roman" w:hAnsi="Times New Roman"/>
                <w:color w:val="000000" w:themeColor="text1"/>
                <w:kern w:val="24"/>
                <w14:textFill>
                  <w14:solidFill>
                    <w14:schemeClr w14:val="tx1"/>
                  </w14:solidFill>
                </w14:textFill>
              </w:rPr>
              <w:t>29</w:t>
            </w:r>
          </w:p>
        </w:tc>
      </w:tr>
    </w:tbl>
    <w:p>
      <w:pPr>
        <w:pStyle w:val="231"/>
        <w:ind w:firstLine="0" w:firstLineChars="0"/>
        <w:jc w:val="center"/>
        <w:rPr>
          <w:color w:val="0000FF"/>
        </w:rPr>
      </w:pPr>
    </w:p>
    <w:p>
      <w:pPr>
        <w:pStyle w:val="105"/>
        <w:spacing w:before="240" w:after="240"/>
        <w:rPr>
          <w:color w:val="000000" w:themeColor="text1"/>
          <w14:textFill>
            <w14:solidFill>
              <w14:schemeClr w14:val="tx1"/>
            </w14:solidFill>
          </w14:textFill>
        </w:rPr>
      </w:pPr>
      <w:r>
        <w:rPr>
          <w:rFonts w:hint="eastAsia"/>
          <w:color w:val="000000" w:themeColor="text1"/>
          <w14:textFill>
            <w14:solidFill>
              <w14:schemeClr w14:val="tx1"/>
            </w14:solidFill>
          </w14:textFill>
        </w:rPr>
        <w:t>定性测定</w:t>
      </w:r>
    </w:p>
    <w:p>
      <w:pPr>
        <w:pStyle w:val="231"/>
        <w:rPr>
          <w:color w:val="0070C0"/>
        </w:rPr>
      </w:pPr>
      <w:r>
        <w:rPr>
          <w:rFonts w:hint="eastAsia"/>
          <w:color w:val="000000" w:themeColor="text1"/>
          <w14:textFill>
            <w14:solidFill>
              <w14:schemeClr w14:val="tx1"/>
            </w14:solidFill>
          </w14:textFill>
        </w:rPr>
        <w:t>每个待测非肉类蛋白成分的2条多肽均应检出，且每条多肽下的3个子离子对均应检出。在相同条件下，试样溶液和对照试验溶液中待测成分的色谱峰保留时间偏差为±0.1 min以内。</w:t>
      </w:r>
    </w:p>
    <w:p>
      <w:pPr>
        <w:pStyle w:val="105"/>
        <w:spacing w:before="240" w:after="240"/>
        <w:rPr>
          <w:color w:val="000000" w:themeColor="text1"/>
          <w14:textFill>
            <w14:solidFill>
              <w14:schemeClr w14:val="tx1"/>
            </w14:solidFill>
          </w14:textFill>
        </w:rPr>
      </w:pPr>
      <w:r>
        <w:rPr>
          <w:rFonts w:hint="eastAsia"/>
          <w:color w:val="000000" w:themeColor="text1"/>
          <w14:textFill>
            <w14:solidFill>
              <w14:schemeClr w14:val="tx1"/>
            </w14:solidFill>
          </w14:textFill>
        </w:rPr>
        <w:t>检出限</w:t>
      </w:r>
    </w:p>
    <w:p>
      <w:pPr>
        <w:pStyle w:val="237"/>
        <w:spacing w:before="120" w:beforeLines="50" w:after="120" w:afterLines="50"/>
        <w:ind w:firstLine="42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畜禽肉制品中小麦、花生、豌豆、大豆蛋白的检出限为的0.1%；畜禽肉制品中蛋液的检出限为0.5%。</w:t>
      </w:r>
      <w:r>
        <w:rPr>
          <w:color w:val="000000" w:themeColor="text1"/>
          <w14:textFill>
            <w14:solidFill>
              <w14:schemeClr w14:val="tx1"/>
            </w14:solidFill>
          </w14:textFill>
        </w:rPr>
        <w:br w:type="page"/>
      </w:r>
    </w:p>
    <w:p>
      <w:pPr>
        <w:pStyle w:val="105"/>
        <w:numPr>
          <w:ilvl w:val="0"/>
          <w:numId w:val="0"/>
        </w:numPr>
        <w:spacing w:before="240" w:after="240"/>
      </w:pPr>
      <w:r>
        <w:rPr>
          <w:rFonts w:hint="eastAsia"/>
        </w:rPr>
        <w:t>附录A 物种特异性多肽特征离子质量色谱图</w:t>
      </w:r>
    </w:p>
    <w:p>
      <w:pPr>
        <w:pStyle w:val="57"/>
        <w:ind w:firstLine="0" w:firstLineChars="0"/>
      </w:pPr>
      <w:r>
        <w:drawing>
          <wp:inline distT="0" distB="0" distL="0" distR="0">
            <wp:extent cx="1969770" cy="3648710"/>
            <wp:effectExtent l="0" t="0" r="0" b="8890"/>
            <wp:docPr id="14933806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380645"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976356" cy="3660814"/>
                    </a:xfrm>
                    <a:prstGeom prst="rect">
                      <a:avLst/>
                    </a:prstGeom>
                    <a:noFill/>
                  </pic:spPr>
                </pic:pic>
              </a:graphicData>
            </a:graphic>
          </wp:inline>
        </w:drawing>
      </w:r>
      <w:r>
        <w:rPr>
          <w:rFonts w:hint="eastAsia"/>
        </w:rPr>
        <w:t xml:space="preserve"> </w:t>
      </w:r>
      <w:r>
        <w:drawing>
          <wp:inline distT="0" distB="0" distL="0" distR="0">
            <wp:extent cx="1929130" cy="3636010"/>
            <wp:effectExtent l="0" t="0" r="0" b="2540"/>
            <wp:docPr id="106215745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157455"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943469" cy="3662199"/>
                    </a:xfrm>
                    <a:prstGeom prst="rect">
                      <a:avLst/>
                    </a:prstGeom>
                    <a:noFill/>
                  </pic:spPr>
                </pic:pic>
              </a:graphicData>
            </a:graphic>
          </wp:inline>
        </w:drawing>
      </w:r>
      <w:r>
        <w:rPr>
          <w:rFonts w:hint="eastAsia"/>
        </w:rPr>
        <w:t xml:space="preserve"> </w:t>
      </w:r>
      <w:r>
        <w:drawing>
          <wp:inline distT="0" distB="0" distL="0" distR="0">
            <wp:extent cx="1905635" cy="3644265"/>
            <wp:effectExtent l="0" t="0" r="0" b="0"/>
            <wp:docPr id="73439326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393261"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915874" cy="3663350"/>
                    </a:xfrm>
                    <a:prstGeom prst="rect">
                      <a:avLst/>
                    </a:prstGeom>
                    <a:noFill/>
                  </pic:spPr>
                </pic:pic>
              </a:graphicData>
            </a:graphic>
          </wp:inline>
        </w:drawing>
      </w:r>
    </w:p>
    <w:p>
      <w:pPr>
        <w:pStyle w:val="57"/>
        <w:ind w:firstLine="0" w:firstLineChars="0"/>
      </w:pPr>
      <w:r>
        <w:drawing>
          <wp:inline distT="0" distB="0" distL="0" distR="0">
            <wp:extent cx="1909445" cy="3792220"/>
            <wp:effectExtent l="0" t="0" r="0" b="0"/>
            <wp:docPr id="1552351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35113"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919900" cy="3813096"/>
                    </a:xfrm>
                    <a:prstGeom prst="rect">
                      <a:avLst/>
                    </a:prstGeom>
                    <a:noFill/>
                  </pic:spPr>
                </pic:pic>
              </a:graphicData>
            </a:graphic>
          </wp:inline>
        </w:drawing>
      </w:r>
      <w:r>
        <w:rPr>
          <w:rFonts w:hint="eastAsia"/>
        </w:rPr>
        <w:t xml:space="preserve"> </w:t>
      </w:r>
      <w:r>
        <w:drawing>
          <wp:inline distT="0" distB="0" distL="0" distR="0">
            <wp:extent cx="1902460" cy="3778885"/>
            <wp:effectExtent l="0" t="0" r="2540" b="0"/>
            <wp:docPr id="3735166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516645"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910178" cy="3793786"/>
                    </a:xfrm>
                    <a:prstGeom prst="rect">
                      <a:avLst/>
                    </a:prstGeom>
                    <a:noFill/>
                  </pic:spPr>
                </pic:pic>
              </a:graphicData>
            </a:graphic>
          </wp:inline>
        </w:drawing>
      </w:r>
      <w:r>
        <w:rPr>
          <w:rFonts w:hint="eastAsia"/>
        </w:rPr>
        <w:t xml:space="preserve">  </w:t>
      </w:r>
      <w:r>
        <w:drawing>
          <wp:inline distT="0" distB="0" distL="0" distR="0">
            <wp:extent cx="1877060" cy="3749040"/>
            <wp:effectExtent l="0" t="0" r="8890" b="3810"/>
            <wp:docPr id="171359006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590060"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81202" cy="3756893"/>
                    </a:xfrm>
                    <a:prstGeom prst="rect">
                      <a:avLst/>
                    </a:prstGeom>
                    <a:noFill/>
                  </pic:spPr>
                </pic:pic>
              </a:graphicData>
            </a:graphic>
          </wp:inline>
        </w:drawing>
      </w:r>
    </w:p>
    <w:p>
      <w:pPr>
        <w:pStyle w:val="236"/>
        <w:rPr>
          <w:rFonts w:hint="eastAsia" w:ascii="宋体" w:hAnsi="宋体"/>
        </w:rPr>
      </w:pPr>
    </w:p>
    <w:sectPr>
      <w:pgSz w:w="11906" w:h="16838"/>
      <w:pgMar w:top="567" w:right="1134" w:bottom="1134" w:left="1134" w:header="1418" w:footer="1134" w:gutter="284"/>
      <w:pgNumType w:start="1"/>
      <w:cols w:space="425"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Arial Unicode MS">
    <w:panose1 w:val="020B0604020202020204"/>
    <w:charset w:val="86"/>
    <w:family w:val="auto"/>
    <w:pitch w:val="default"/>
    <w:sig w:usb0="FFFFFFFF" w:usb1="E9FFFFFF" w:usb2="0000003F" w:usb3="00000000" w:csb0="603F01FF" w:csb1="FFFF0000"/>
  </w:font>
  <w:font w:name="冬青黑体简体中文">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汉仪中等线KW">
    <w:panose1 w:val="01010104010101010101"/>
    <w:charset w:val="86"/>
    <w:family w:val="auto"/>
    <w:pitch w:val="default"/>
    <w:sig w:usb0="800002BF" w:usb1="004F7CFA"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t>QB/T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QB/T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3969"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568"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bordersDoNotSurroundHeader w:val="1"/>
  <w:bordersDoNotSurroundFooter w:val="1"/>
  <w:attachedTemplate r:id="rId1"/>
  <w:documentProtection w:edit="forms" w:enforcement="1" w:cryptProviderType="rsaAES" w:cryptAlgorithmClass="hash" w:cryptAlgorithmType="typeAny" w:cryptAlgorithmSid="14" w:cryptSpinCount="100000" w:hash="SuCr1ufG6xWRKpVv2MH6006gI6pkBjAF7qhgbEZBa8Wonj0mX9g3P7WSXLWpL0CQGkl/oGLRS3ImGS5Awt3nMA==" w:salt="HxCdt4oog2ACRVsWrco2q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Q2s7Q0tbSwMLQ0MTdQ0lEKTi0uzszPAymwrAUAw8BCuCwAAAA="/>
    <w:docVar w:name="commondata" w:val="eyJoZGlkIjoiMTgwMTRmNGQ3Nzk0NGYwNWIxNDg2YjgzMGMzMDY5YWYifQ=="/>
  </w:docVars>
  <w:rsids>
    <w:rsidRoot w:val="00092FEF"/>
    <w:rsid w:val="0000040A"/>
    <w:rsid w:val="00000A94"/>
    <w:rsid w:val="00001972"/>
    <w:rsid w:val="00001D9A"/>
    <w:rsid w:val="00002F56"/>
    <w:rsid w:val="00007B3A"/>
    <w:rsid w:val="000107E0"/>
    <w:rsid w:val="00011FDE"/>
    <w:rsid w:val="00012FFD"/>
    <w:rsid w:val="00013F1D"/>
    <w:rsid w:val="00014162"/>
    <w:rsid w:val="00014340"/>
    <w:rsid w:val="00016A9C"/>
    <w:rsid w:val="00022184"/>
    <w:rsid w:val="00022762"/>
    <w:rsid w:val="000238E0"/>
    <w:rsid w:val="000244BD"/>
    <w:rsid w:val="000249DB"/>
    <w:rsid w:val="0002595E"/>
    <w:rsid w:val="000303C3"/>
    <w:rsid w:val="000331D3"/>
    <w:rsid w:val="000346A5"/>
    <w:rsid w:val="000359C3"/>
    <w:rsid w:val="00035A7D"/>
    <w:rsid w:val="0004040F"/>
    <w:rsid w:val="000410E8"/>
    <w:rsid w:val="0004249A"/>
    <w:rsid w:val="000427AB"/>
    <w:rsid w:val="00043282"/>
    <w:rsid w:val="00044286"/>
    <w:rsid w:val="00046E7E"/>
    <w:rsid w:val="00047D59"/>
    <w:rsid w:val="00047F28"/>
    <w:rsid w:val="00047F8C"/>
    <w:rsid w:val="000503AA"/>
    <w:rsid w:val="000506A1"/>
    <w:rsid w:val="000515DD"/>
    <w:rsid w:val="0005265A"/>
    <w:rsid w:val="000539DD"/>
    <w:rsid w:val="00053BD3"/>
    <w:rsid w:val="0005539A"/>
    <w:rsid w:val="000556ED"/>
    <w:rsid w:val="00055FE2"/>
    <w:rsid w:val="0005616F"/>
    <w:rsid w:val="00057DB7"/>
    <w:rsid w:val="00060391"/>
    <w:rsid w:val="000604E3"/>
    <w:rsid w:val="00060C2E"/>
    <w:rsid w:val="00061033"/>
    <w:rsid w:val="000619E9"/>
    <w:rsid w:val="000622D4"/>
    <w:rsid w:val="0006357D"/>
    <w:rsid w:val="000660E2"/>
    <w:rsid w:val="00067F1E"/>
    <w:rsid w:val="00071CC0"/>
    <w:rsid w:val="00073C8C"/>
    <w:rsid w:val="000776FE"/>
    <w:rsid w:val="00077B64"/>
    <w:rsid w:val="00080A1C"/>
    <w:rsid w:val="00082317"/>
    <w:rsid w:val="00082847"/>
    <w:rsid w:val="00083D2C"/>
    <w:rsid w:val="00086AA1"/>
    <w:rsid w:val="00087A77"/>
    <w:rsid w:val="00090BC8"/>
    <w:rsid w:val="00090CA6"/>
    <w:rsid w:val="00092B8A"/>
    <w:rsid w:val="00092FB0"/>
    <w:rsid w:val="00092FEF"/>
    <w:rsid w:val="000934C5"/>
    <w:rsid w:val="00093D25"/>
    <w:rsid w:val="00093DAB"/>
    <w:rsid w:val="00094D73"/>
    <w:rsid w:val="00096D63"/>
    <w:rsid w:val="00096ED6"/>
    <w:rsid w:val="000A0B60"/>
    <w:rsid w:val="000A0EB8"/>
    <w:rsid w:val="000A19FC"/>
    <w:rsid w:val="000A1CEF"/>
    <w:rsid w:val="000A296B"/>
    <w:rsid w:val="000A7311"/>
    <w:rsid w:val="000B060F"/>
    <w:rsid w:val="000B0EC2"/>
    <w:rsid w:val="000B11FB"/>
    <w:rsid w:val="000B1225"/>
    <w:rsid w:val="000B1592"/>
    <w:rsid w:val="000B17DD"/>
    <w:rsid w:val="000B1FF2"/>
    <w:rsid w:val="000B29D2"/>
    <w:rsid w:val="000B3A6E"/>
    <w:rsid w:val="000B3CDA"/>
    <w:rsid w:val="000B58C7"/>
    <w:rsid w:val="000B6563"/>
    <w:rsid w:val="000B6A0B"/>
    <w:rsid w:val="000C0F6C"/>
    <w:rsid w:val="000C11DB"/>
    <w:rsid w:val="000C1492"/>
    <w:rsid w:val="000C2FBD"/>
    <w:rsid w:val="000C4B41"/>
    <w:rsid w:val="000C57D6"/>
    <w:rsid w:val="000C6FF4"/>
    <w:rsid w:val="000C7666"/>
    <w:rsid w:val="000D0A9C"/>
    <w:rsid w:val="000D0B87"/>
    <w:rsid w:val="000D1795"/>
    <w:rsid w:val="000D2C3E"/>
    <w:rsid w:val="000D2F41"/>
    <w:rsid w:val="000D329A"/>
    <w:rsid w:val="000D4B9C"/>
    <w:rsid w:val="000D4EB6"/>
    <w:rsid w:val="000D5AAF"/>
    <w:rsid w:val="000D753B"/>
    <w:rsid w:val="000E2AB8"/>
    <w:rsid w:val="000E3CDF"/>
    <w:rsid w:val="000E4C9E"/>
    <w:rsid w:val="000E6FD7"/>
    <w:rsid w:val="000F06E1"/>
    <w:rsid w:val="000F0E3C"/>
    <w:rsid w:val="000F19D5"/>
    <w:rsid w:val="000F4AEA"/>
    <w:rsid w:val="000F67E9"/>
    <w:rsid w:val="00103D1C"/>
    <w:rsid w:val="00104926"/>
    <w:rsid w:val="00112849"/>
    <w:rsid w:val="00112D37"/>
    <w:rsid w:val="00113B1E"/>
    <w:rsid w:val="0011711C"/>
    <w:rsid w:val="00117D53"/>
    <w:rsid w:val="001246F5"/>
    <w:rsid w:val="00124E4F"/>
    <w:rsid w:val="00125490"/>
    <w:rsid w:val="001260B7"/>
    <w:rsid w:val="001265CB"/>
    <w:rsid w:val="001321C6"/>
    <w:rsid w:val="001325C4"/>
    <w:rsid w:val="00133010"/>
    <w:rsid w:val="001338EE"/>
    <w:rsid w:val="00133AAE"/>
    <w:rsid w:val="00134FCC"/>
    <w:rsid w:val="00135323"/>
    <w:rsid w:val="001356C4"/>
    <w:rsid w:val="00141114"/>
    <w:rsid w:val="00141A4A"/>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1FB"/>
    <w:rsid w:val="00165434"/>
    <w:rsid w:val="0016580B"/>
    <w:rsid w:val="00165F49"/>
    <w:rsid w:val="00166B88"/>
    <w:rsid w:val="0016770A"/>
    <w:rsid w:val="00170804"/>
    <w:rsid w:val="001708E9"/>
    <w:rsid w:val="0017131F"/>
    <w:rsid w:val="0017340B"/>
    <w:rsid w:val="00173FB1"/>
    <w:rsid w:val="00176DFD"/>
    <w:rsid w:val="00177543"/>
    <w:rsid w:val="001852C9"/>
    <w:rsid w:val="00190087"/>
    <w:rsid w:val="001913C4"/>
    <w:rsid w:val="0019174E"/>
    <w:rsid w:val="0019348F"/>
    <w:rsid w:val="00193A07"/>
    <w:rsid w:val="00194C95"/>
    <w:rsid w:val="001952B5"/>
    <w:rsid w:val="00195C34"/>
    <w:rsid w:val="00196BAB"/>
    <w:rsid w:val="001A1A53"/>
    <w:rsid w:val="001A234A"/>
    <w:rsid w:val="001A490C"/>
    <w:rsid w:val="001B06E8"/>
    <w:rsid w:val="001B193E"/>
    <w:rsid w:val="001B1A61"/>
    <w:rsid w:val="001B30AB"/>
    <w:rsid w:val="001B46CB"/>
    <w:rsid w:val="001B71D0"/>
    <w:rsid w:val="001B71EE"/>
    <w:rsid w:val="001C0017"/>
    <w:rsid w:val="001C04A8"/>
    <w:rsid w:val="001C0AAB"/>
    <w:rsid w:val="001C1F1A"/>
    <w:rsid w:val="001C2C03"/>
    <w:rsid w:val="001C3A6C"/>
    <w:rsid w:val="001C42F7"/>
    <w:rsid w:val="001C49E5"/>
    <w:rsid w:val="001C680C"/>
    <w:rsid w:val="001C7101"/>
    <w:rsid w:val="001C7FEA"/>
    <w:rsid w:val="001D0499"/>
    <w:rsid w:val="001D0A1A"/>
    <w:rsid w:val="001D0BBE"/>
    <w:rsid w:val="001D0ED4"/>
    <w:rsid w:val="001D212F"/>
    <w:rsid w:val="001D29D7"/>
    <w:rsid w:val="001D2DE7"/>
    <w:rsid w:val="001D411C"/>
    <w:rsid w:val="001D7495"/>
    <w:rsid w:val="001E1749"/>
    <w:rsid w:val="001E1B6A"/>
    <w:rsid w:val="001E2484"/>
    <w:rsid w:val="001E3CC4"/>
    <w:rsid w:val="001E4882"/>
    <w:rsid w:val="001E73AB"/>
    <w:rsid w:val="001F092D"/>
    <w:rsid w:val="001F143A"/>
    <w:rsid w:val="001F1605"/>
    <w:rsid w:val="001F2508"/>
    <w:rsid w:val="001F3974"/>
    <w:rsid w:val="001F4816"/>
    <w:rsid w:val="001F69B4"/>
    <w:rsid w:val="001F77C7"/>
    <w:rsid w:val="001F798D"/>
    <w:rsid w:val="00200183"/>
    <w:rsid w:val="0020107D"/>
    <w:rsid w:val="00202AA4"/>
    <w:rsid w:val="002031F7"/>
    <w:rsid w:val="002040E6"/>
    <w:rsid w:val="0020527B"/>
    <w:rsid w:val="00205F2C"/>
    <w:rsid w:val="00206A98"/>
    <w:rsid w:val="00210B15"/>
    <w:rsid w:val="0021355C"/>
    <w:rsid w:val="00213F08"/>
    <w:rsid w:val="002142EA"/>
    <w:rsid w:val="002204BB"/>
    <w:rsid w:val="00221B79"/>
    <w:rsid w:val="00221C6B"/>
    <w:rsid w:val="00224596"/>
    <w:rsid w:val="002253A1"/>
    <w:rsid w:val="00225CF8"/>
    <w:rsid w:val="00226E81"/>
    <w:rsid w:val="002274D2"/>
    <w:rsid w:val="0022794E"/>
    <w:rsid w:val="002318A1"/>
    <w:rsid w:val="00233D64"/>
    <w:rsid w:val="00234784"/>
    <w:rsid w:val="0023482A"/>
    <w:rsid w:val="002359CB"/>
    <w:rsid w:val="00235F2A"/>
    <w:rsid w:val="00243540"/>
    <w:rsid w:val="0024497B"/>
    <w:rsid w:val="00244D0E"/>
    <w:rsid w:val="0024515B"/>
    <w:rsid w:val="00246021"/>
    <w:rsid w:val="0024666E"/>
    <w:rsid w:val="00247F52"/>
    <w:rsid w:val="00250B25"/>
    <w:rsid w:val="00250BBE"/>
    <w:rsid w:val="002515C2"/>
    <w:rsid w:val="0025194F"/>
    <w:rsid w:val="0026148A"/>
    <w:rsid w:val="00262696"/>
    <w:rsid w:val="002634BC"/>
    <w:rsid w:val="002643C3"/>
    <w:rsid w:val="00264A0C"/>
    <w:rsid w:val="00267EF4"/>
    <w:rsid w:val="00270CB8"/>
    <w:rsid w:val="00272B08"/>
    <w:rsid w:val="00277477"/>
    <w:rsid w:val="002811E5"/>
    <w:rsid w:val="00281BB8"/>
    <w:rsid w:val="00281E9E"/>
    <w:rsid w:val="00285170"/>
    <w:rsid w:val="00285361"/>
    <w:rsid w:val="00286700"/>
    <w:rsid w:val="00291A64"/>
    <w:rsid w:val="0029268B"/>
    <w:rsid w:val="00292D60"/>
    <w:rsid w:val="00294D34"/>
    <w:rsid w:val="00294E3B"/>
    <w:rsid w:val="00296193"/>
    <w:rsid w:val="00296C52"/>
    <w:rsid w:val="00296C66"/>
    <w:rsid w:val="00296EBE"/>
    <w:rsid w:val="002974D5"/>
    <w:rsid w:val="002974E3"/>
    <w:rsid w:val="002A084B"/>
    <w:rsid w:val="002A1260"/>
    <w:rsid w:val="002A1589"/>
    <w:rsid w:val="002A1608"/>
    <w:rsid w:val="002A25DC"/>
    <w:rsid w:val="002A2DD6"/>
    <w:rsid w:val="002A3AAB"/>
    <w:rsid w:val="002A4CEA"/>
    <w:rsid w:val="002A5977"/>
    <w:rsid w:val="002A5A13"/>
    <w:rsid w:val="002A6525"/>
    <w:rsid w:val="002A757F"/>
    <w:rsid w:val="002A7F44"/>
    <w:rsid w:val="002B0C40"/>
    <w:rsid w:val="002B1966"/>
    <w:rsid w:val="002B23E3"/>
    <w:rsid w:val="002B336D"/>
    <w:rsid w:val="002B338E"/>
    <w:rsid w:val="002B4508"/>
    <w:rsid w:val="002B5779"/>
    <w:rsid w:val="002B7332"/>
    <w:rsid w:val="002B7F51"/>
    <w:rsid w:val="002C09E7"/>
    <w:rsid w:val="002C2D2F"/>
    <w:rsid w:val="002C3F07"/>
    <w:rsid w:val="002C5278"/>
    <w:rsid w:val="002C5CDC"/>
    <w:rsid w:val="002C7EBB"/>
    <w:rsid w:val="002D06C1"/>
    <w:rsid w:val="002D42B5"/>
    <w:rsid w:val="002D4F1A"/>
    <w:rsid w:val="002D6DA6"/>
    <w:rsid w:val="002D6EC6"/>
    <w:rsid w:val="002D79AC"/>
    <w:rsid w:val="002E039D"/>
    <w:rsid w:val="002E4682"/>
    <w:rsid w:val="002E4D5A"/>
    <w:rsid w:val="002E6326"/>
    <w:rsid w:val="002E7CF0"/>
    <w:rsid w:val="002F30E0"/>
    <w:rsid w:val="002F35E4"/>
    <w:rsid w:val="002F3730"/>
    <w:rsid w:val="002F38E1"/>
    <w:rsid w:val="002F7AF6"/>
    <w:rsid w:val="003002D1"/>
    <w:rsid w:val="00300E63"/>
    <w:rsid w:val="00301539"/>
    <w:rsid w:val="00301D88"/>
    <w:rsid w:val="00302F5F"/>
    <w:rsid w:val="0030441D"/>
    <w:rsid w:val="00306063"/>
    <w:rsid w:val="00313B85"/>
    <w:rsid w:val="00314115"/>
    <w:rsid w:val="00317988"/>
    <w:rsid w:val="003221B4"/>
    <w:rsid w:val="00322E62"/>
    <w:rsid w:val="003236F2"/>
    <w:rsid w:val="00324EDD"/>
    <w:rsid w:val="003331E4"/>
    <w:rsid w:val="0033610D"/>
    <w:rsid w:val="00336C64"/>
    <w:rsid w:val="00337162"/>
    <w:rsid w:val="0034194F"/>
    <w:rsid w:val="00342DB8"/>
    <w:rsid w:val="00344605"/>
    <w:rsid w:val="00345E23"/>
    <w:rsid w:val="003474AA"/>
    <w:rsid w:val="00350D1D"/>
    <w:rsid w:val="00351901"/>
    <w:rsid w:val="00352C83"/>
    <w:rsid w:val="00355377"/>
    <w:rsid w:val="003556EC"/>
    <w:rsid w:val="003615D2"/>
    <w:rsid w:val="0036429C"/>
    <w:rsid w:val="00364A53"/>
    <w:rsid w:val="003654CB"/>
    <w:rsid w:val="00365852"/>
    <w:rsid w:val="00365F86"/>
    <w:rsid w:val="00365F87"/>
    <w:rsid w:val="003705F4"/>
    <w:rsid w:val="00370D58"/>
    <w:rsid w:val="00371316"/>
    <w:rsid w:val="003730DE"/>
    <w:rsid w:val="00374466"/>
    <w:rsid w:val="003747EB"/>
    <w:rsid w:val="00376713"/>
    <w:rsid w:val="00377451"/>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A5290"/>
    <w:rsid w:val="003A7C68"/>
    <w:rsid w:val="003B09AD"/>
    <w:rsid w:val="003B0BD9"/>
    <w:rsid w:val="003B1F18"/>
    <w:rsid w:val="003B42FA"/>
    <w:rsid w:val="003B45D4"/>
    <w:rsid w:val="003B5BF0"/>
    <w:rsid w:val="003B60BF"/>
    <w:rsid w:val="003B6BE3"/>
    <w:rsid w:val="003B6CC5"/>
    <w:rsid w:val="003B6CE8"/>
    <w:rsid w:val="003C010C"/>
    <w:rsid w:val="003C0A6C"/>
    <w:rsid w:val="003C2859"/>
    <w:rsid w:val="003C5A43"/>
    <w:rsid w:val="003D0519"/>
    <w:rsid w:val="003D0FF6"/>
    <w:rsid w:val="003D262C"/>
    <w:rsid w:val="003D65B3"/>
    <w:rsid w:val="003D6B34"/>
    <w:rsid w:val="003D6D61"/>
    <w:rsid w:val="003D7610"/>
    <w:rsid w:val="003E078B"/>
    <w:rsid w:val="003E091D"/>
    <w:rsid w:val="003E1C53"/>
    <w:rsid w:val="003E2A69"/>
    <w:rsid w:val="003E2D49"/>
    <w:rsid w:val="003E2FD4"/>
    <w:rsid w:val="003E49F6"/>
    <w:rsid w:val="003F021E"/>
    <w:rsid w:val="003F0841"/>
    <w:rsid w:val="003F23D3"/>
    <w:rsid w:val="003F3F08"/>
    <w:rsid w:val="003F49F1"/>
    <w:rsid w:val="003F6272"/>
    <w:rsid w:val="003F72A3"/>
    <w:rsid w:val="003F77C9"/>
    <w:rsid w:val="0040089D"/>
    <w:rsid w:val="00400E72"/>
    <w:rsid w:val="00401400"/>
    <w:rsid w:val="0040314C"/>
    <w:rsid w:val="00403F86"/>
    <w:rsid w:val="00404869"/>
    <w:rsid w:val="00405884"/>
    <w:rsid w:val="00407D39"/>
    <w:rsid w:val="004115E9"/>
    <w:rsid w:val="0041477A"/>
    <w:rsid w:val="004167A3"/>
    <w:rsid w:val="00423038"/>
    <w:rsid w:val="00424C0F"/>
    <w:rsid w:val="00432DAA"/>
    <w:rsid w:val="00434305"/>
    <w:rsid w:val="00435DF7"/>
    <w:rsid w:val="00436084"/>
    <w:rsid w:val="004403DA"/>
    <w:rsid w:val="0044083F"/>
    <w:rsid w:val="00441AE7"/>
    <w:rsid w:val="00444198"/>
    <w:rsid w:val="00445574"/>
    <w:rsid w:val="004467FB"/>
    <w:rsid w:val="00452D6B"/>
    <w:rsid w:val="00454484"/>
    <w:rsid w:val="0045517B"/>
    <w:rsid w:val="004563CD"/>
    <w:rsid w:val="00463B77"/>
    <w:rsid w:val="00463C7B"/>
    <w:rsid w:val="00463F02"/>
    <w:rsid w:val="004644A6"/>
    <w:rsid w:val="00464E5D"/>
    <w:rsid w:val="004659BD"/>
    <w:rsid w:val="00467ED6"/>
    <w:rsid w:val="00470384"/>
    <w:rsid w:val="00470775"/>
    <w:rsid w:val="004715BD"/>
    <w:rsid w:val="00473EB4"/>
    <w:rsid w:val="004746B1"/>
    <w:rsid w:val="0047583F"/>
    <w:rsid w:val="00483E61"/>
    <w:rsid w:val="00484936"/>
    <w:rsid w:val="004851FF"/>
    <w:rsid w:val="00485C89"/>
    <w:rsid w:val="00486BE3"/>
    <w:rsid w:val="004905E4"/>
    <w:rsid w:val="00490A89"/>
    <w:rsid w:val="00490AB4"/>
    <w:rsid w:val="004920D8"/>
    <w:rsid w:val="00492497"/>
    <w:rsid w:val="00492F02"/>
    <w:rsid w:val="004939AE"/>
    <w:rsid w:val="0049518D"/>
    <w:rsid w:val="004A12DF"/>
    <w:rsid w:val="004A1BA8"/>
    <w:rsid w:val="004A2699"/>
    <w:rsid w:val="004A4B57"/>
    <w:rsid w:val="004A63FA"/>
    <w:rsid w:val="004A748D"/>
    <w:rsid w:val="004B0272"/>
    <w:rsid w:val="004B2701"/>
    <w:rsid w:val="004B2E1B"/>
    <w:rsid w:val="004B3E93"/>
    <w:rsid w:val="004B61E3"/>
    <w:rsid w:val="004C1FBC"/>
    <w:rsid w:val="004C2C45"/>
    <w:rsid w:val="004C3F1D"/>
    <w:rsid w:val="004C458D"/>
    <w:rsid w:val="004C6626"/>
    <w:rsid w:val="004C7556"/>
    <w:rsid w:val="004C7E9D"/>
    <w:rsid w:val="004C7F67"/>
    <w:rsid w:val="004D076D"/>
    <w:rsid w:val="004D0EF1"/>
    <w:rsid w:val="004D189E"/>
    <w:rsid w:val="004D2253"/>
    <w:rsid w:val="004D4406"/>
    <w:rsid w:val="004D7C42"/>
    <w:rsid w:val="004E0465"/>
    <w:rsid w:val="004E127B"/>
    <w:rsid w:val="004E1C0A"/>
    <w:rsid w:val="004E244B"/>
    <w:rsid w:val="004E3014"/>
    <w:rsid w:val="004E30C5"/>
    <w:rsid w:val="004E4AA5"/>
    <w:rsid w:val="004E4AEE"/>
    <w:rsid w:val="004E59E3"/>
    <w:rsid w:val="004E67C0"/>
    <w:rsid w:val="004E75DB"/>
    <w:rsid w:val="004F391A"/>
    <w:rsid w:val="004F3CFB"/>
    <w:rsid w:val="004F51A4"/>
    <w:rsid w:val="004F6456"/>
    <w:rsid w:val="004F696E"/>
    <w:rsid w:val="004F6C71"/>
    <w:rsid w:val="00501139"/>
    <w:rsid w:val="00502991"/>
    <w:rsid w:val="0050363E"/>
    <w:rsid w:val="005039BC"/>
    <w:rsid w:val="005043BB"/>
    <w:rsid w:val="00504A3D"/>
    <w:rsid w:val="00505767"/>
    <w:rsid w:val="005073F0"/>
    <w:rsid w:val="00510A7B"/>
    <w:rsid w:val="0051115E"/>
    <w:rsid w:val="00512F6E"/>
    <w:rsid w:val="00513038"/>
    <w:rsid w:val="00514174"/>
    <w:rsid w:val="00516088"/>
    <w:rsid w:val="00516693"/>
    <w:rsid w:val="00516B0B"/>
    <w:rsid w:val="00516C33"/>
    <w:rsid w:val="0052003F"/>
    <w:rsid w:val="005207F4"/>
    <w:rsid w:val="005220EC"/>
    <w:rsid w:val="00523F95"/>
    <w:rsid w:val="00524D65"/>
    <w:rsid w:val="00525B16"/>
    <w:rsid w:val="00531CB7"/>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008A"/>
    <w:rsid w:val="00561475"/>
    <w:rsid w:val="00561AA0"/>
    <w:rsid w:val="0056487B"/>
    <w:rsid w:val="00564FB9"/>
    <w:rsid w:val="0057047D"/>
    <w:rsid w:val="00573D9E"/>
    <w:rsid w:val="005801E3"/>
    <w:rsid w:val="00581666"/>
    <w:rsid w:val="00581802"/>
    <w:rsid w:val="0058365C"/>
    <w:rsid w:val="005836A8"/>
    <w:rsid w:val="0058409C"/>
    <w:rsid w:val="00584262"/>
    <w:rsid w:val="00586630"/>
    <w:rsid w:val="00587ADD"/>
    <w:rsid w:val="00587EB3"/>
    <w:rsid w:val="00591443"/>
    <w:rsid w:val="005929EA"/>
    <w:rsid w:val="00596160"/>
    <w:rsid w:val="005966E2"/>
    <w:rsid w:val="00596F61"/>
    <w:rsid w:val="00597007"/>
    <w:rsid w:val="005A0966"/>
    <w:rsid w:val="005A11B7"/>
    <w:rsid w:val="005A260B"/>
    <w:rsid w:val="005A4925"/>
    <w:rsid w:val="005A4A1B"/>
    <w:rsid w:val="005A7830"/>
    <w:rsid w:val="005A7FCE"/>
    <w:rsid w:val="005B0F3F"/>
    <w:rsid w:val="005B4903"/>
    <w:rsid w:val="005B51CE"/>
    <w:rsid w:val="005B5885"/>
    <w:rsid w:val="005B5CD7"/>
    <w:rsid w:val="005B6CF6"/>
    <w:rsid w:val="005B7422"/>
    <w:rsid w:val="005C29B8"/>
    <w:rsid w:val="005C5F21"/>
    <w:rsid w:val="005C5F5D"/>
    <w:rsid w:val="005C66A4"/>
    <w:rsid w:val="005C7156"/>
    <w:rsid w:val="005D03C6"/>
    <w:rsid w:val="005D0C75"/>
    <w:rsid w:val="005D18A9"/>
    <w:rsid w:val="005D1E63"/>
    <w:rsid w:val="005D23ED"/>
    <w:rsid w:val="005D4171"/>
    <w:rsid w:val="005D6A95"/>
    <w:rsid w:val="005D6B2C"/>
    <w:rsid w:val="005D6D9C"/>
    <w:rsid w:val="005E2335"/>
    <w:rsid w:val="005E23B1"/>
    <w:rsid w:val="005E34CA"/>
    <w:rsid w:val="005E3C18"/>
    <w:rsid w:val="005E6318"/>
    <w:rsid w:val="005E6812"/>
    <w:rsid w:val="005E7829"/>
    <w:rsid w:val="005E7881"/>
    <w:rsid w:val="005E78E0"/>
    <w:rsid w:val="005F0D9C"/>
    <w:rsid w:val="005F2409"/>
    <w:rsid w:val="005F284E"/>
    <w:rsid w:val="006015CE"/>
    <w:rsid w:val="00603DCB"/>
    <w:rsid w:val="00604784"/>
    <w:rsid w:val="00606419"/>
    <w:rsid w:val="00607D29"/>
    <w:rsid w:val="00610036"/>
    <w:rsid w:val="006100CF"/>
    <w:rsid w:val="00612952"/>
    <w:rsid w:val="00614CC1"/>
    <w:rsid w:val="00615A9D"/>
    <w:rsid w:val="006170C0"/>
    <w:rsid w:val="00617387"/>
    <w:rsid w:val="006252D8"/>
    <w:rsid w:val="006259BC"/>
    <w:rsid w:val="0062636B"/>
    <w:rsid w:val="00627944"/>
    <w:rsid w:val="00632182"/>
    <w:rsid w:val="006321C5"/>
    <w:rsid w:val="00632AE0"/>
    <w:rsid w:val="00633C17"/>
    <w:rsid w:val="006351F3"/>
    <w:rsid w:val="00636E3E"/>
    <w:rsid w:val="006379F7"/>
    <w:rsid w:val="00637E4D"/>
    <w:rsid w:val="00640620"/>
    <w:rsid w:val="00641A1F"/>
    <w:rsid w:val="0064528D"/>
    <w:rsid w:val="00645904"/>
    <w:rsid w:val="00647065"/>
    <w:rsid w:val="00651ACB"/>
    <w:rsid w:val="00651C47"/>
    <w:rsid w:val="00651D4C"/>
    <w:rsid w:val="00652AB2"/>
    <w:rsid w:val="00654EC0"/>
    <w:rsid w:val="0065525B"/>
    <w:rsid w:val="00655903"/>
    <w:rsid w:val="00655A1D"/>
    <w:rsid w:val="00655B78"/>
    <w:rsid w:val="00655D4F"/>
    <w:rsid w:val="00656C98"/>
    <w:rsid w:val="00656E03"/>
    <w:rsid w:val="006640E5"/>
    <w:rsid w:val="006646F1"/>
    <w:rsid w:val="00664929"/>
    <w:rsid w:val="00664F62"/>
    <w:rsid w:val="006655E1"/>
    <w:rsid w:val="00672060"/>
    <w:rsid w:val="00672BFD"/>
    <w:rsid w:val="006770B3"/>
    <w:rsid w:val="006770F4"/>
    <w:rsid w:val="00677A84"/>
    <w:rsid w:val="0068026D"/>
    <w:rsid w:val="00680A27"/>
    <w:rsid w:val="006816A4"/>
    <w:rsid w:val="006819B8"/>
    <w:rsid w:val="00682F4D"/>
    <w:rsid w:val="006840A6"/>
    <w:rsid w:val="006850CD"/>
    <w:rsid w:val="006855BC"/>
    <w:rsid w:val="00685AAB"/>
    <w:rsid w:val="0068681E"/>
    <w:rsid w:val="00686C4C"/>
    <w:rsid w:val="00697996"/>
    <w:rsid w:val="006A07AA"/>
    <w:rsid w:val="006A176D"/>
    <w:rsid w:val="006A25E5"/>
    <w:rsid w:val="006A2B46"/>
    <w:rsid w:val="006A336D"/>
    <w:rsid w:val="006A37B9"/>
    <w:rsid w:val="006B06E5"/>
    <w:rsid w:val="006B1F45"/>
    <w:rsid w:val="006B23BB"/>
    <w:rsid w:val="006B2672"/>
    <w:rsid w:val="006B4EA0"/>
    <w:rsid w:val="006B54BF"/>
    <w:rsid w:val="006B5F44"/>
    <w:rsid w:val="006B5F90"/>
    <w:rsid w:val="006B62E4"/>
    <w:rsid w:val="006B6E63"/>
    <w:rsid w:val="006B731B"/>
    <w:rsid w:val="006B7562"/>
    <w:rsid w:val="006C1BBA"/>
    <w:rsid w:val="006C2079"/>
    <w:rsid w:val="006C317D"/>
    <w:rsid w:val="006C53ED"/>
    <w:rsid w:val="006C5A62"/>
    <w:rsid w:val="006C5D68"/>
    <w:rsid w:val="006C6976"/>
    <w:rsid w:val="006C6DD0"/>
    <w:rsid w:val="006D04EA"/>
    <w:rsid w:val="006D16C4"/>
    <w:rsid w:val="006D3E96"/>
    <w:rsid w:val="006D4515"/>
    <w:rsid w:val="006D4BB1"/>
    <w:rsid w:val="006D6593"/>
    <w:rsid w:val="006D686E"/>
    <w:rsid w:val="006D6D33"/>
    <w:rsid w:val="006E2BEC"/>
    <w:rsid w:val="006F03A8"/>
    <w:rsid w:val="006F126C"/>
    <w:rsid w:val="006F2ACA"/>
    <w:rsid w:val="006F2ADC"/>
    <w:rsid w:val="006F2B43"/>
    <w:rsid w:val="006F2BFE"/>
    <w:rsid w:val="006F31E9"/>
    <w:rsid w:val="006F32E7"/>
    <w:rsid w:val="006F56E5"/>
    <w:rsid w:val="006F6284"/>
    <w:rsid w:val="006F6F04"/>
    <w:rsid w:val="007002C5"/>
    <w:rsid w:val="00700CFC"/>
    <w:rsid w:val="0070348B"/>
    <w:rsid w:val="00703650"/>
    <w:rsid w:val="00704387"/>
    <w:rsid w:val="0070601C"/>
    <w:rsid w:val="00707669"/>
    <w:rsid w:val="00711CBA"/>
    <w:rsid w:val="00711FB5"/>
    <w:rsid w:val="00712A01"/>
    <w:rsid w:val="00714F58"/>
    <w:rsid w:val="00716D93"/>
    <w:rsid w:val="00717A73"/>
    <w:rsid w:val="00722FBF"/>
    <w:rsid w:val="00722FC2"/>
    <w:rsid w:val="00723DA5"/>
    <w:rsid w:val="00724229"/>
    <w:rsid w:val="00725949"/>
    <w:rsid w:val="00727FA2"/>
    <w:rsid w:val="007322D9"/>
    <w:rsid w:val="00732BC0"/>
    <w:rsid w:val="00732F4E"/>
    <w:rsid w:val="00736DB4"/>
    <w:rsid w:val="0073720F"/>
    <w:rsid w:val="007372BE"/>
    <w:rsid w:val="00737796"/>
    <w:rsid w:val="0074165C"/>
    <w:rsid w:val="0074245E"/>
    <w:rsid w:val="00742C35"/>
    <w:rsid w:val="007432CA"/>
    <w:rsid w:val="007439EB"/>
    <w:rsid w:val="00743CB4"/>
    <w:rsid w:val="00743F0A"/>
    <w:rsid w:val="007444E8"/>
    <w:rsid w:val="0074548E"/>
    <w:rsid w:val="00745773"/>
    <w:rsid w:val="0074646D"/>
    <w:rsid w:val="00746800"/>
    <w:rsid w:val="00747CF0"/>
    <w:rsid w:val="007501A8"/>
    <w:rsid w:val="00750EE1"/>
    <w:rsid w:val="00752B4D"/>
    <w:rsid w:val="00755402"/>
    <w:rsid w:val="00756B26"/>
    <w:rsid w:val="00756EDF"/>
    <w:rsid w:val="00761B1C"/>
    <w:rsid w:val="00765C43"/>
    <w:rsid w:val="00765EFB"/>
    <w:rsid w:val="007671CA"/>
    <w:rsid w:val="0076744F"/>
    <w:rsid w:val="00767C61"/>
    <w:rsid w:val="00767C77"/>
    <w:rsid w:val="0077008A"/>
    <w:rsid w:val="007728C5"/>
    <w:rsid w:val="00773C1F"/>
    <w:rsid w:val="00774DA4"/>
    <w:rsid w:val="00776599"/>
    <w:rsid w:val="00776AC0"/>
    <w:rsid w:val="00777AA1"/>
    <w:rsid w:val="0078114B"/>
    <w:rsid w:val="00781DD2"/>
    <w:rsid w:val="00783ECF"/>
    <w:rsid w:val="0078413A"/>
    <w:rsid w:val="007959E8"/>
    <w:rsid w:val="00795E9C"/>
    <w:rsid w:val="007A0521"/>
    <w:rsid w:val="007A2E12"/>
    <w:rsid w:val="007A3301"/>
    <w:rsid w:val="007A3475"/>
    <w:rsid w:val="007A41C8"/>
    <w:rsid w:val="007A54CE"/>
    <w:rsid w:val="007A6FD9"/>
    <w:rsid w:val="007A7FFA"/>
    <w:rsid w:val="007B04EB"/>
    <w:rsid w:val="007B0D4F"/>
    <w:rsid w:val="007B171D"/>
    <w:rsid w:val="007B2CD6"/>
    <w:rsid w:val="007B5A3D"/>
    <w:rsid w:val="007B5B95"/>
    <w:rsid w:val="007B68EA"/>
    <w:rsid w:val="007B7453"/>
    <w:rsid w:val="007C2D89"/>
    <w:rsid w:val="007C4593"/>
    <w:rsid w:val="007C5309"/>
    <w:rsid w:val="007C6069"/>
    <w:rsid w:val="007C6C77"/>
    <w:rsid w:val="007D06C4"/>
    <w:rsid w:val="007D1352"/>
    <w:rsid w:val="007D2508"/>
    <w:rsid w:val="007D2EFB"/>
    <w:rsid w:val="007D346A"/>
    <w:rsid w:val="007D6518"/>
    <w:rsid w:val="007D67F6"/>
    <w:rsid w:val="007D76BD"/>
    <w:rsid w:val="007E037E"/>
    <w:rsid w:val="007E0A02"/>
    <w:rsid w:val="007E0BF1"/>
    <w:rsid w:val="007E1A55"/>
    <w:rsid w:val="007E258B"/>
    <w:rsid w:val="007E7352"/>
    <w:rsid w:val="007F0ED8"/>
    <w:rsid w:val="007F0F63"/>
    <w:rsid w:val="007F3748"/>
    <w:rsid w:val="007F75CE"/>
    <w:rsid w:val="007F7E92"/>
    <w:rsid w:val="008013A4"/>
    <w:rsid w:val="008027CE"/>
    <w:rsid w:val="00802F42"/>
    <w:rsid w:val="00804383"/>
    <w:rsid w:val="00804BB7"/>
    <w:rsid w:val="00810257"/>
    <w:rsid w:val="008104F5"/>
    <w:rsid w:val="00811072"/>
    <w:rsid w:val="00811369"/>
    <w:rsid w:val="0081393F"/>
    <w:rsid w:val="0081408D"/>
    <w:rsid w:val="008150CA"/>
    <w:rsid w:val="00815419"/>
    <w:rsid w:val="008163C8"/>
    <w:rsid w:val="008164A1"/>
    <w:rsid w:val="00817325"/>
    <w:rsid w:val="008209E6"/>
    <w:rsid w:val="008224C6"/>
    <w:rsid w:val="00823303"/>
    <w:rsid w:val="008233B2"/>
    <w:rsid w:val="00823A9F"/>
    <w:rsid w:val="00823C85"/>
    <w:rsid w:val="00825138"/>
    <w:rsid w:val="008269DD"/>
    <w:rsid w:val="00826BA2"/>
    <w:rsid w:val="00830621"/>
    <w:rsid w:val="0083348C"/>
    <w:rsid w:val="008373D3"/>
    <w:rsid w:val="00840617"/>
    <w:rsid w:val="00842A47"/>
    <w:rsid w:val="00843C13"/>
    <w:rsid w:val="008454F8"/>
    <w:rsid w:val="0085173A"/>
    <w:rsid w:val="00854343"/>
    <w:rsid w:val="008600FF"/>
    <w:rsid w:val="00860297"/>
    <w:rsid w:val="008603CE"/>
    <w:rsid w:val="008620FC"/>
    <w:rsid w:val="008627A5"/>
    <w:rsid w:val="00863E05"/>
    <w:rsid w:val="0086431E"/>
    <w:rsid w:val="008646A0"/>
    <w:rsid w:val="00865ACA"/>
    <w:rsid w:val="00865D28"/>
    <w:rsid w:val="00865F85"/>
    <w:rsid w:val="00867C10"/>
    <w:rsid w:val="00870439"/>
    <w:rsid w:val="00870DA1"/>
    <w:rsid w:val="00876E8D"/>
    <w:rsid w:val="0087701A"/>
    <w:rsid w:val="008801F9"/>
    <w:rsid w:val="00881A4B"/>
    <w:rsid w:val="00882957"/>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4FBB"/>
    <w:rsid w:val="008A769A"/>
    <w:rsid w:val="008B0C9C"/>
    <w:rsid w:val="008B166D"/>
    <w:rsid w:val="008B17F4"/>
    <w:rsid w:val="008B3615"/>
    <w:rsid w:val="008B4AC4"/>
    <w:rsid w:val="008B50C8"/>
    <w:rsid w:val="008B5281"/>
    <w:rsid w:val="008B5B09"/>
    <w:rsid w:val="008B7A77"/>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08B"/>
    <w:rsid w:val="008E2319"/>
    <w:rsid w:val="008E2FB8"/>
    <w:rsid w:val="008E3FE1"/>
    <w:rsid w:val="008E4BB6"/>
    <w:rsid w:val="008E5518"/>
    <w:rsid w:val="008E6A84"/>
    <w:rsid w:val="008F07C5"/>
    <w:rsid w:val="008F0CDC"/>
    <w:rsid w:val="008F17A3"/>
    <w:rsid w:val="008F1ED3"/>
    <w:rsid w:val="008F4C29"/>
    <w:rsid w:val="008F70BD"/>
    <w:rsid w:val="008F788F"/>
    <w:rsid w:val="008F7EA2"/>
    <w:rsid w:val="00902722"/>
    <w:rsid w:val="009027BC"/>
    <w:rsid w:val="0090422D"/>
    <w:rsid w:val="009062E6"/>
    <w:rsid w:val="00910348"/>
    <w:rsid w:val="00911B1C"/>
    <w:rsid w:val="00911BE5"/>
    <w:rsid w:val="00913CA9"/>
    <w:rsid w:val="009145AE"/>
    <w:rsid w:val="009146CE"/>
    <w:rsid w:val="00914CA7"/>
    <w:rsid w:val="00915C3E"/>
    <w:rsid w:val="009161A8"/>
    <w:rsid w:val="00921B2F"/>
    <w:rsid w:val="00923E4A"/>
    <w:rsid w:val="009245F5"/>
    <w:rsid w:val="009249EC"/>
    <w:rsid w:val="00924F21"/>
    <w:rsid w:val="00926229"/>
    <w:rsid w:val="009273B3"/>
    <w:rsid w:val="009278CD"/>
    <w:rsid w:val="009305B5"/>
    <w:rsid w:val="00931E39"/>
    <w:rsid w:val="00933475"/>
    <w:rsid w:val="0093684A"/>
    <w:rsid w:val="00936DC5"/>
    <w:rsid w:val="00940200"/>
    <w:rsid w:val="00940B45"/>
    <w:rsid w:val="009429D5"/>
    <w:rsid w:val="00942BF1"/>
    <w:rsid w:val="00945180"/>
    <w:rsid w:val="00945428"/>
    <w:rsid w:val="0094607B"/>
    <w:rsid w:val="00951F23"/>
    <w:rsid w:val="00953604"/>
    <w:rsid w:val="0095496B"/>
    <w:rsid w:val="009610DC"/>
    <w:rsid w:val="00961490"/>
    <w:rsid w:val="0096381A"/>
    <w:rsid w:val="009642B6"/>
    <w:rsid w:val="00965E04"/>
    <w:rsid w:val="00965E9B"/>
    <w:rsid w:val="009674AD"/>
    <w:rsid w:val="00970CDC"/>
    <w:rsid w:val="0097315D"/>
    <w:rsid w:val="00973B70"/>
    <w:rsid w:val="0097548B"/>
    <w:rsid w:val="00977010"/>
    <w:rsid w:val="00977D02"/>
    <w:rsid w:val="009809BB"/>
    <w:rsid w:val="0098364B"/>
    <w:rsid w:val="009911AF"/>
    <w:rsid w:val="00991875"/>
    <w:rsid w:val="00991AD0"/>
    <w:rsid w:val="00991CFB"/>
    <w:rsid w:val="00991F92"/>
    <w:rsid w:val="00992985"/>
    <w:rsid w:val="00993889"/>
    <w:rsid w:val="00994782"/>
    <w:rsid w:val="0099551B"/>
    <w:rsid w:val="0099641B"/>
    <w:rsid w:val="00997BF1"/>
    <w:rsid w:val="009A089C"/>
    <w:rsid w:val="009A118E"/>
    <w:rsid w:val="009A21CD"/>
    <w:rsid w:val="009A245B"/>
    <w:rsid w:val="009A278C"/>
    <w:rsid w:val="009A2BC2"/>
    <w:rsid w:val="009A42C1"/>
    <w:rsid w:val="009A5429"/>
    <w:rsid w:val="009A72AD"/>
    <w:rsid w:val="009A7C3F"/>
    <w:rsid w:val="009B09E0"/>
    <w:rsid w:val="009B0BC5"/>
    <w:rsid w:val="009B1247"/>
    <w:rsid w:val="009B18CB"/>
    <w:rsid w:val="009B6029"/>
    <w:rsid w:val="009B6464"/>
    <w:rsid w:val="009B6631"/>
    <w:rsid w:val="009B6971"/>
    <w:rsid w:val="009C27F1"/>
    <w:rsid w:val="009C3152"/>
    <w:rsid w:val="009C3164"/>
    <w:rsid w:val="009C4CFA"/>
    <w:rsid w:val="009C5070"/>
    <w:rsid w:val="009C61B3"/>
    <w:rsid w:val="009C7517"/>
    <w:rsid w:val="009D112C"/>
    <w:rsid w:val="009D47FA"/>
    <w:rsid w:val="009D50D2"/>
    <w:rsid w:val="009D6BCA"/>
    <w:rsid w:val="009D72B9"/>
    <w:rsid w:val="009E0F62"/>
    <w:rsid w:val="009E1624"/>
    <w:rsid w:val="009E1848"/>
    <w:rsid w:val="009E26C5"/>
    <w:rsid w:val="009E4A58"/>
    <w:rsid w:val="009E5A2D"/>
    <w:rsid w:val="009E5AB2"/>
    <w:rsid w:val="009E6219"/>
    <w:rsid w:val="009F03B3"/>
    <w:rsid w:val="009F3A00"/>
    <w:rsid w:val="00A01757"/>
    <w:rsid w:val="00A028C0"/>
    <w:rsid w:val="00A02BAE"/>
    <w:rsid w:val="00A05AA6"/>
    <w:rsid w:val="00A06A6B"/>
    <w:rsid w:val="00A07E47"/>
    <w:rsid w:val="00A129D0"/>
    <w:rsid w:val="00A12C33"/>
    <w:rsid w:val="00A138BA"/>
    <w:rsid w:val="00A14C8E"/>
    <w:rsid w:val="00A153D9"/>
    <w:rsid w:val="00A15F09"/>
    <w:rsid w:val="00A169B6"/>
    <w:rsid w:val="00A16A77"/>
    <w:rsid w:val="00A226DC"/>
    <w:rsid w:val="00A2271D"/>
    <w:rsid w:val="00A237D5"/>
    <w:rsid w:val="00A26428"/>
    <w:rsid w:val="00A269A2"/>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B17"/>
    <w:rsid w:val="00A44E69"/>
    <w:rsid w:val="00A4661E"/>
    <w:rsid w:val="00A55BD6"/>
    <w:rsid w:val="00A55D50"/>
    <w:rsid w:val="00A56599"/>
    <w:rsid w:val="00A57142"/>
    <w:rsid w:val="00A61D48"/>
    <w:rsid w:val="00A648CD"/>
    <w:rsid w:val="00A6537A"/>
    <w:rsid w:val="00A668BC"/>
    <w:rsid w:val="00A67866"/>
    <w:rsid w:val="00A70B07"/>
    <w:rsid w:val="00A723F8"/>
    <w:rsid w:val="00A77CCB"/>
    <w:rsid w:val="00A83D8D"/>
    <w:rsid w:val="00A8446B"/>
    <w:rsid w:val="00A8473F"/>
    <w:rsid w:val="00A862D6"/>
    <w:rsid w:val="00A86894"/>
    <w:rsid w:val="00A8715E"/>
    <w:rsid w:val="00A87647"/>
    <w:rsid w:val="00A9295B"/>
    <w:rsid w:val="00A93B09"/>
    <w:rsid w:val="00A952D7"/>
    <w:rsid w:val="00A963F7"/>
    <w:rsid w:val="00A96AD8"/>
    <w:rsid w:val="00A976A8"/>
    <w:rsid w:val="00AA052C"/>
    <w:rsid w:val="00AA1E45"/>
    <w:rsid w:val="00AA30E6"/>
    <w:rsid w:val="00AA4286"/>
    <w:rsid w:val="00AA456B"/>
    <w:rsid w:val="00AA57F5"/>
    <w:rsid w:val="00AA672E"/>
    <w:rsid w:val="00AA6EC9"/>
    <w:rsid w:val="00AB3476"/>
    <w:rsid w:val="00AB6309"/>
    <w:rsid w:val="00AB681C"/>
    <w:rsid w:val="00AB6AFD"/>
    <w:rsid w:val="00AB6C5F"/>
    <w:rsid w:val="00AB7129"/>
    <w:rsid w:val="00AC27A6"/>
    <w:rsid w:val="00AC30F7"/>
    <w:rsid w:val="00AC3A5A"/>
    <w:rsid w:val="00AC4031"/>
    <w:rsid w:val="00AC4D95"/>
    <w:rsid w:val="00AC5DF4"/>
    <w:rsid w:val="00AD0AEF"/>
    <w:rsid w:val="00AD11B7"/>
    <w:rsid w:val="00AD1A94"/>
    <w:rsid w:val="00AD1C05"/>
    <w:rsid w:val="00AD4126"/>
    <w:rsid w:val="00AD421C"/>
    <w:rsid w:val="00AD44FA"/>
    <w:rsid w:val="00AD5D46"/>
    <w:rsid w:val="00AD5D89"/>
    <w:rsid w:val="00AE070A"/>
    <w:rsid w:val="00AE101C"/>
    <w:rsid w:val="00AE232F"/>
    <w:rsid w:val="00AE317B"/>
    <w:rsid w:val="00AE3F05"/>
    <w:rsid w:val="00AE511E"/>
    <w:rsid w:val="00AE5EB4"/>
    <w:rsid w:val="00AF0C18"/>
    <w:rsid w:val="00AF47C5"/>
    <w:rsid w:val="00AF5398"/>
    <w:rsid w:val="00AF5DC0"/>
    <w:rsid w:val="00B045F4"/>
    <w:rsid w:val="00B049AF"/>
    <w:rsid w:val="00B07242"/>
    <w:rsid w:val="00B10534"/>
    <w:rsid w:val="00B10EB8"/>
    <w:rsid w:val="00B113DB"/>
    <w:rsid w:val="00B11D8A"/>
    <w:rsid w:val="00B1279D"/>
    <w:rsid w:val="00B12981"/>
    <w:rsid w:val="00B147DD"/>
    <w:rsid w:val="00B156FD"/>
    <w:rsid w:val="00B179F6"/>
    <w:rsid w:val="00B21904"/>
    <w:rsid w:val="00B21F61"/>
    <w:rsid w:val="00B261F1"/>
    <w:rsid w:val="00B265BC"/>
    <w:rsid w:val="00B31FB1"/>
    <w:rsid w:val="00B33952"/>
    <w:rsid w:val="00B33C5E"/>
    <w:rsid w:val="00B342F4"/>
    <w:rsid w:val="00B34369"/>
    <w:rsid w:val="00B34DC2"/>
    <w:rsid w:val="00B37415"/>
    <w:rsid w:val="00B378E5"/>
    <w:rsid w:val="00B41F57"/>
    <w:rsid w:val="00B4288D"/>
    <w:rsid w:val="00B4346D"/>
    <w:rsid w:val="00B43732"/>
    <w:rsid w:val="00B440F4"/>
    <w:rsid w:val="00B447A5"/>
    <w:rsid w:val="00B4592C"/>
    <w:rsid w:val="00B46331"/>
    <w:rsid w:val="00B4654C"/>
    <w:rsid w:val="00B47293"/>
    <w:rsid w:val="00B50139"/>
    <w:rsid w:val="00B50E50"/>
    <w:rsid w:val="00B51461"/>
    <w:rsid w:val="00B52120"/>
    <w:rsid w:val="00B54ABC"/>
    <w:rsid w:val="00B56BDE"/>
    <w:rsid w:val="00B56FBE"/>
    <w:rsid w:val="00B62B58"/>
    <w:rsid w:val="00B65149"/>
    <w:rsid w:val="00B66567"/>
    <w:rsid w:val="00B66F52"/>
    <w:rsid w:val="00B66FE5"/>
    <w:rsid w:val="00B671BC"/>
    <w:rsid w:val="00B70D09"/>
    <w:rsid w:val="00B71D1F"/>
    <w:rsid w:val="00B72880"/>
    <w:rsid w:val="00B758BF"/>
    <w:rsid w:val="00B827A6"/>
    <w:rsid w:val="00B831CE"/>
    <w:rsid w:val="00B83886"/>
    <w:rsid w:val="00B86677"/>
    <w:rsid w:val="00B867E8"/>
    <w:rsid w:val="00B87131"/>
    <w:rsid w:val="00B87580"/>
    <w:rsid w:val="00B92F05"/>
    <w:rsid w:val="00B939B1"/>
    <w:rsid w:val="00B963F3"/>
    <w:rsid w:val="00B969FE"/>
    <w:rsid w:val="00B96D40"/>
    <w:rsid w:val="00B97386"/>
    <w:rsid w:val="00B978DB"/>
    <w:rsid w:val="00BA263B"/>
    <w:rsid w:val="00BA2C69"/>
    <w:rsid w:val="00BA42B2"/>
    <w:rsid w:val="00BA467B"/>
    <w:rsid w:val="00BA58D4"/>
    <w:rsid w:val="00BA5B9E"/>
    <w:rsid w:val="00BA7C9A"/>
    <w:rsid w:val="00BB08BB"/>
    <w:rsid w:val="00BB1B25"/>
    <w:rsid w:val="00BB5F8F"/>
    <w:rsid w:val="00BB657A"/>
    <w:rsid w:val="00BC1A4E"/>
    <w:rsid w:val="00BC4716"/>
    <w:rsid w:val="00BC5DC7"/>
    <w:rsid w:val="00BC6B8B"/>
    <w:rsid w:val="00BC73D8"/>
    <w:rsid w:val="00BD462B"/>
    <w:rsid w:val="00BD5166"/>
    <w:rsid w:val="00BD52D7"/>
    <w:rsid w:val="00BD5AD2"/>
    <w:rsid w:val="00BE1E69"/>
    <w:rsid w:val="00BE22F3"/>
    <w:rsid w:val="00BE42FA"/>
    <w:rsid w:val="00BE5B52"/>
    <w:rsid w:val="00BE7B8D"/>
    <w:rsid w:val="00BF0993"/>
    <w:rsid w:val="00BF10A9"/>
    <w:rsid w:val="00BF1703"/>
    <w:rsid w:val="00BF231C"/>
    <w:rsid w:val="00BF51E5"/>
    <w:rsid w:val="00BF74A6"/>
    <w:rsid w:val="00BF7718"/>
    <w:rsid w:val="00C013AD"/>
    <w:rsid w:val="00C01798"/>
    <w:rsid w:val="00C020FB"/>
    <w:rsid w:val="00C04904"/>
    <w:rsid w:val="00C056B3"/>
    <w:rsid w:val="00C05F7E"/>
    <w:rsid w:val="00C06544"/>
    <w:rsid w:val="00C103E5"/>
    <w:rsid w:val="00C11DF3"/>
    <w:rsid w:val="00C13319"/>
    <w:rsid w:val="00C13EE9"/>
    <w:rsid w:val="00C21540"/>
    <w:rsid w:val="00C21906"/>
    <w:rsid w:val="00C21BFA"/>
    <w:rsid w:val="00C24C8D"/>
    <w:rsid w:val="00C25FE2"/>
    <w:rsid w:val="00C260F4"/>
    <w:rsid w:val="00C26B53"/>
    <w:rsid w:val="00C279B2"/>
    <w:rsid w:val="00C311E6"/>
    <w:rsid w:val="00C33E50"/>
    <w:rsid w:val="00C34C20"/>
    <w:rsid w:val="00C35A3E"/>
    <w:rsid w:val="00C405CB"/>
    <w:rsid w:val="00C40763"/>
    <w:rsid w:val="00C40B6A"/>
    <w:rsid w:val="00C41921"/>
    <w:rsid w:val="00C42130"/>
    <w:rsid w:val="00C423A4"/>
    <w:rsid w:val="00C42A51"/>
    <w:rsid w:val="00C44BF5"/>
    <w:rsid w:val="00C46E9A"/>
    <w:rsid w:val="00C47DC4"/>
    <w:rsid w:val="00C521D6"/>
    <w:rsid w:val="00C55232"/>
    <w:rsid w:val="00C553A4"/>
    <w:rsid w:val="00C55A06"/>
    <w:rsid w:val="00C55D03"/>
    <w:rsid w:val="00C601BC"/>
    <w:rsid w:val="00C6031D"/>
    <w:rsid w:val="00C6329F"/>
    <w:rsid w:val="00C63340"/>
    <w:rsid w:val="00C643F9"/>
    <w:rsid w:val="00C64E95"/>
    <w:rsid w:val="00C64EF5"/>
    <w:rsid w:val="00C70065"/>
    <w:rsid w:val="00C71372"/>
    <w:rsid w:val="00C71FF2"/>
    <w:rsid w:val="00C72410"/>
    <w:rsid w:val="00C7287F"/>
    <w:rsid w:val="00C80CB8"/>
    <w:rsid w:val="00C819F8"/>
    <w:rsid w:val="00C8248C"/>
    <w:rsid w:val="00C83AAF"/>
    <w:rsid w:val="00C8470F"/>
    <w:rsid w:val="00C84E33"/>
    <w:rsid w:val="00C86D6F"/>
    <w:rsid w:val="00C905FC"/>
    <w:rsid w:val="00C92D03"/>
    <w:rsid w:val="00C9319C"/>
    <w:rsid w:val="00C93249"/>
    <w:rsid w:val="00C941F0"/>
    <w:rsid w:val="00C9435D"/>
    <w:rsid w:val="00C96741"/>
    <w:rsid w:val="00CA2D1B"/>
    <w:rsid w:val="00CA459F"/>
    <w:rsid w:val="00CA4A23"/>
    <w:rsid w:val="00CA662A"/>
    <w:rsid w:val="00CA6D76"/>
    <w:rsid w:val="00CA7AFD"/>
    <w:rsid w:val="00CA7C3C"/>
    <w:rsid w:val="00CB0189"/>
    <w:rsid w:val="00CB0BA2"/>
    <w:rsid w:val="00CB1A42"/>
    <w:rsid w:val="00CB1B0C"/>
    <w:rsid w:val="00CB2C0B"/>
    <w:rsid w:val="00CB517D"/>
    <w:rsid w:val="00CB6BBF"/>
    <w:rsid w:val="00CB749A"/>
    <w:rsid w:val="00CC038D"/>
    <w:rsid w:val="00CC13F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DE6"/>
    <w:rsid w:val="00CE30EA"/>
    <w:rsid w:val="00CE45D8"/>
    <w:rsid w:val="00CE48F8"/>
    <w:rsid w:val="00CF03FD"/>
    <w:rsid w:val="00CF048A"/>
    <w:rsid w:val="00CF155A"/>
    <w:rsid w:val="00CF2947"/>
    <w:rsid w:val="00CF4E76"/>
    <w:rsid w:val="00CF5FB5"/>
    <w:rsid w:val="00CF686F"/>
    <w:rsid w:val="00CF6E60"/>
    <w:rsid w:val="00CF7BCA"/>
    <w:rsid w:val="00D008FD"/>
    <w:rsid w:val="00D0321C"/>
    <w:rsid w:val="00D035EC"/>
    <w:rsid w:val="00D04E7E"/>
    <w:rsid w:val="00D06AB1"/>
    <w:rsid w:val="00D072ED"/>
    <w:rsid w:val="00D07A16"/>
    <w:rsid w:val="00D10022"/>
    <w:rsid w:val="00D1067E"/>
    <w:rsid w:val="00D10F50"/>
    <w:rsid w:val="00D11272"/>
    <w:rsid w:val="00D126F5"/>
    <w:rsid w:val="00D13B08"/>
    <w:rsid w:val="00D1489E"/>
    <w:rsid w:val="00D17FE0"/>
    <w:rsid w:val="00D20737"/>
    <w:rsid w:val="00D21E81"/>
    <w:rsid w:val="00D223DE"/>
    <w:rsid w:val="00D23A57"/>
    <w:rsid w:val="00D24633"/>
    <w:rsid w:val="00D25E37"/>
    <w:rsid w:val="00D2661A"/>
    <w:rsid w:val="00D27582"/>
    <w:rsid w:val="00D321A1"/>
    <w:rsid w:val="00D32719"/>
    <w:rsid w:val="00D33333"/>
    <w:rsid w:val="00D34CB7"/>
    <w:rsid w:val="00D352A2"/>
    <w:rsid w:val="00D37DBE"/>
    <w:rsid w:val="00D4162B"/>
    <w:rsid w:val="00D41752"/>
    <w:rsid w:val="00D43705"/>
    <w:rsid w:val="00D44F64"/>
    <w:rsid w:val="00D4514F"/>
    <w:rsid w:val="00D451E2"/>
    <w:rsid w:val="00D45E89"/>
    <w:rsid w:val="00D45E8D"/>
    <w:rsid w:val="00D466AE"/>
    <w:rsid w:val="00D4734F"/>
    <w:rsid w:val="00D51BF3"/>
    <w:rsid w:val="00D52127"/>
    <w:rsid w:val="00D54B98"/>
    <w:rsid w:val="00D56D85"/>
    <w:rsid w:val="00D57EC8"/>
    <w:rsid w:val="00D65DE2"/>
    <w:rsid w:val="00D6633F"/>
    <w:rsid w:val="00D66846"/>
    <w:rsid w:val="00D675FB"/>
    <w:rsid w:val="00D71F25"/>
    <w:rsid w:val="00D77031"/>
    <w:rsid w:val="00D81136"/>
    <w:rsid w:val="00D84941"/>
    <w:rsid w:val="00D84FA1"/>
    <w:rsid w:val="00D850B2"/>
    <w:rsid w:val="00D851F0"/>
    <w:rsid w:val="00D86DB7"/>
    <w:rsid w:val="00D879C7"/>
    <w:rsid w:val="00D9060C"/>
    <w:rsid w:val="00D915BF"/>
    <w:rsid w:val="00D926D0"/>
    <w:rsid w:val="00D93030"/>
    <w:rsid w:val="00D950E1"/>
    <w:rsid w:val="00D952A6"/>
    <w:rsid w:val="00D95B18"/>
    <w:rsid w:val="00D9689E"/>
    <w:rsid w:val="00D97F99"/>
    <w:rsid w:val="00DA1E08"/>
    <w:rsid w:val="00DA24F8"/>
    <w:rsid w:val="00DA28E8"/>
    <w:rsid w:val="00DA38D3"/>
    <w:rsid w:val="00DA3932"/>
    <w:rsid w:val="00DA3AFC"/>
    <w:rsid w:val="00DA4331"/>
    <w:rsid w:val="00DA64F8"/>
    <w:rsid w:val="00DA6C15"/>
    <w:rsid w:val="00DB38EE"/>
    <w:rsid w:val="00DB498B"/>
    <w:rsid w:val="00DB66CA"/>
    <w:rsid w:val="00DB6BCA"/>
    <w:rsid w:val="00DB7113"/>
    <w:rsid w:val="00DC0321"/>
    <w:rsid w:val="00DC3067"/>
    <w:rsid w:val="00DC370B"/>
    <w:rsid w:val="00DC4E5A"/>
    <w:rsid w:val="00DC5B90"/>
    <w:rsid w:val="00DC7127"/>
    <w:rsid w:val="00DC77EE"/>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0ED8"/>
    <w:rsid w:val="00E01138"/>
    <w:rsid w:val="00E02DFB"/>
    <w:rsid w:val="00E030F9"/>
    <w:rsid w:val="00E0311A"/>
    <w:rsid w:val="00E03138"/>
    <w:rsid w:val="00E06404"/>
    <w:rsid w:val="00E07BFA"/>
    <w:rsid w:val="00E11A85"/>
    <w:rsid w:val="00E12495"/>
    <w:rsid w:val="00E15CCD"/>
    <w:rsid w:val="00E15D90"/>
    <w:rsid w:val="00E15D9E"/>
    <w:rsid w:val="00E167DA"/>
    <w:rsid w:val="00E202EF"/>
    <w:rsid w:val="00E20C3E"/>
    <w:rsid w:val="00E20DC0"/>
    <w:rsid w:val="00E210B5"/>
    <w:rsid w:val="00E2117D"/>
    <w:rsid w:val="00E2552F"/>
    <w:rsid w:val="00E3137A"/>
    <w:rsid w:val="00E32213"/>
    <w:rsid w:val="00E32CCF"/>
    <w:rsid w:val="00E33542"/>
    <w:rsid w:val="00E34A98"/>
    <w:rsid w:val="00E35D1E"/>
    <w:rsid w:val="00E364F9"/>
    <w:rsid w:val="00E365FA"/>
    <w:rsid w:val="00E36789"/>
    <w:rsid w:val="00E36801"/>
    <w:rsid w:val="00E40791"/>
    <w:rsid w:val="00E44A83"/>
    <w:rsid w:val="00E502C1"/>
    <w:rsid w:val="00E502DD"/>
    <w:rsid w:val="00E50D3A"/>
    <w:rsid w:val="00E51387"/>
    <w:rsid w:val="00E51E68"/>
    <w:rsid w:val="00E52EFD"/>
    <w:rsid w:val="00E535A2"/>
    <w:rsid w:val="00E5408A"/>
    <w:rsid w:val="00E55D16"/>
    <w:rsid w:val="00E55E5F"/>
    <w:rsid w:val="00E5645A"/>
    <w:rsid w:val="00E56800"/>
    <w:rsid w:val="00E610A2"/>
    <w:rsid w:val="00E62FF9"/>
    <w:rsid w:val="00E635D6"/>
    <w:rsid w:val="00E639BC"/>
    <w:rsid w:val="00E664CC"/>
    <w:rsid w:val="00E67634"/>
    <w:rsid w:val="00E70388"/>
    <w:rsid w:val="00E70B15"/>
    <w:rsid w:val="00E70F92"/>
    <w:rsid w:val="00E7127D"/>
    <w:rsid w:val="00E71477"/>
    <w:rsid w:val="00E722B7"/>
    <w:rsid w:val="00E737CB"/>
    <w:rsid w:val="00E7403B"/>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6A3"/>
    <w:rsid w:val="00E969D5"/>
    <w:rsid w:val="00EA5771"/>
    <w:rsid w:val="00EA58D1"/>
    <w:rsid w:val="00EA61BC"/>
    <w:rsid w:val="00EA681A"/>
    <w:rsid w:val="00EA735B"/>
    <w:rsid w:val="00EA7EDE"/>
    <w:rsid w:val="00EB1E69"/>
    <w:rsid w:val="00EB2086"/>
    <w:rsid w:val="00EB5EDF"/>
    <w:rsid w:val="00EB60FE"/>
    <w:rsid w:val="00EB74DB"/>
    <w:rsid w:val="00EC5359"/>
    <w:rsid w:val="00EC562A"/>
    <w:rsid w:val="00ED0347"/>
    <w:rsid w:val="00ED067A"/>
    <w:rsid w:val="00ED2B50"/>
    <w:rsid w:val="00ED5179"/>
    <w:rsid w:val="00ED5BB2"/>
    <w:rsid w:val="00EE0350"/>
    <w:rsid w:val="00EE0719"/>
    <w:rsid w:val="00EE0E80"/>
    <w:rsid w:val="00EE613F"/>
    <w:rsid w:val="00EE64DC"/>
    <w:rsid w:val="00EE7295"/>
    <w:rsid w:val="00EE72F9"/>
    <w:rsid w:val="00EE7869"/>
    <w:rsid w:val="00EF054A"/>
    <w:rsid w:val="00EF0B67"/>
    <w:rsid w:val="00EF3235"/>
    <w:rsid w:val="00EF7834"/>
    <w:rsid w:val="00EF7E72"/>
    <w:rsid w:val="00F01542"/>
    <w:rsid w:val="00F01671"/>
    <w:rsid w:val="00F06D37"/>
    <w:rsid w:val="00F07B9D"/>
    <w:rsid w:val="00F10926"/>
    <w:rsid w:val="00F11586"/>
    <w:rsid w:val="00F1183B"/>
    <w:rsid w:val="00F118EE"/>
    <w:rsid w:val="00F11C9F"/>
    <w:rsid w:val="00F12263"/>
    <w:rsid w:val="00F12F58"/>
    <w:rsid w:val="00F1409D"/>
    <w:rsid w:val="00F14214"/>
    <w:rsid w:val="00F157A9"/>
    <w:rsid w:val="00F20262"/>
    <w:rsid w:val="00F21DD4"/>
    <w:rsid w:val="00F25BB6"/>
    <w:rsid w:val="00F26B7E"/>
    <w:rsid w:val="00F27A3B"/>
    <w:rsid w:val="00F305E1"/>
    <w:rsid w:val="00F33817"/>
    <w:rsid w:val="00F3447F"/>
    <w:rsid w:val="00F37C07"/>
    <w:rsid w:val="00F409BD"/>
    <w:rsid w:val="00F420D5"/>
    <w:rsid w:val="00F451EA"/>
    <w:rsid w:val="00F45447"/>
    <w:rsid w:val="00F456C6"/>
    <w:rsid w:val="00F4577B"/>
    <w:rsid w:val="00F46047"/>
    <w:rsid w:val="00F46496"/>
    <w:rsid w:val="00F474D0"/>
    <w:rsid w:val="00F50179"/>
    <w:rsid w:val="00F5045B"/>
    <w:rsid w:val="00F56457"/>
    <w:rsid w:val="00F56511"/>
    <w:rsid w:val="00F574C8"/>
    <w:rsid w:val="00F6194E"/>
    <w:rsid w:val="00F623AC"/>
    <w:rsid w:val="00F6412A"/>
    <w:rsid w:val="00F65893"/>
    <w:rsid w:val="00F66A4A"/>
    <w:rsid w:val="00F71511"/>
    <w:rsid w:val="00F71E22"/>
    <w:rsid w:val="00F72142"/>
    <w:rsid w:val="00F72AE7"/>
    <w:rsid w:val="00F7452C"/>
    <w:rsid w:val="00F77D98"/>
    <w:rsid w:val="00F833BA"/>
    <w:rsid w:val="00F83837"/>
    <w:rsid w:val="00F84FD0"/>
    <w:rsid w:val="00F859A8"/>
    <w:rsid w:val="00F9108B"/>
    <w:rsid w:val="00F91349"/>
    <w:rsid w:val="00F92212"/>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5584"/>
    <w:rsid w:val="00FB6ED0"/>
    <w:rsid w:val="00FB7054"/>
    <w:rsid w:val="00FC17B7"/>
    <w:rsid w:val="00FC296F"/>
    <w:rsid w:val="00FC2CB7"/>
    <w:rsid w:val="00FC4090"/>
    <w:rsid w:val="00FC55B4"/>
    <w:rsid w:val="00FD00E6"/>
    <w:rsid w:val="00FD09A1"/>
    <w:rsid w:val="00FD2A7C"/>
    <w:rsid w:val="00FD4161"/>
    <w:rsid w:val="00FD4310"/>
    <w:rsid w:val="00FD59EB"/>
    <w:rsid w:val="00FD7299"/>
    <w:rsid w:val="00FE1FBE"/>
    <w:rsid w:val="00FE3901"/>
    <w:rsid w:val="00FE39D3"/>
    <w:rsid w:val="00FE3F91"/>
    <w:rsid w:val="00FE4BCE"/>
    <w:rsid w:val="00FE54AE"/>
    <w:rsid w:val="00FE576A"/>
    <w:rsid w:val="00FE7E79"/>
    <w:rsid w:val="00FE7FE7"/>
    <w:rsid w:val="00FF3E7D"/>
    <w:rsid w:val="00FF5B99"/>
    <w:rsid w:val="00FF6B14"/>
    <w:rsid w:val="00FF730C"/>
    <w:rsid w:val="00FF73F4"/>
    <w:rsid w:val="00FF7CE4"/>
    <w:rsid w:val="00FF7E39"/>
    <w:rsid w:val="02E6381A"/>
    <w:rsid w:val="09844FF9"/>
    <w:rsid w:val="14E76520"/>
    <w:rsid w:val="19D57D3A"/>
    <w:rsid w:val="6D7E82B1"/>
    <w:rsid w:val="7B5C7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ind w:left="284"/>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basedOn w:val="1"/>
    <w:link w:val="238"/>
    <w:qFormat/>
    <w:uiPriority w:val="0"/>
    <w:pPr>
      <w:widowControl/>
      <w:autoSpaceDE w:val="0"/>
      <w:autoSpaceDN w:val="0"/>
      <w:adjustRightInd/>
      <w:spacing w:line="240" w:lineRule="auto"/>
      <w:ind w:firstLine="420" w:firstLineChars="200"/>
    </w:pPr>
    <w:rPr>
      <w:rFonts w:ascii="Times New Roman" w:hAnsi="Times New Roman"/>
      <w:kern w:val="0"/>
    </w:rPr>
  </w:style>
  <w:style w:type="paragraph" w:customStyle="1" w:styleId="232">
    <w:name w:val="章标题"/>
    <w:basedOn w:val="1"/>
    <w:next w:val="231"/>
    <w:qFormat/>
    <w:uiPriority w:val="0"/>
    <w:pPr>
      <w:widowControl/>
      <w:adjustRightInd/>
      <w:spacing w:beforeLines="100" w:afterLines="100" w:line="240" w:lineRule="auto"/>
      <w:ind w:left="568"/>
      <w:outlineLvl w:val="1"/>
    </w:pPr>
    <w:rPr>
      <w:rFonts w:ascii="黑体" w:hAnsi="黑体" w:eastAsia="黑体" w:cs="宋体"/>
      <w:kern w:val="0"/>
    </w:rPr>
  </w:style>
  <w:style w:type="paragraph" w:customStyle="1" w:styleId="233">
    <w:name w:val="一级条标题"/>
    <w:basedOn w:val="1"/>
    <w:next w:val="231"/>
    <w:qFormat/>
    <w:uiPriority w:val="0"/>
    <w:pPr>
      <w:widowControl/>
      <w:adjustRightInd/>
      <w:spacing w:beforeLines="50" w:afterLines="50" w:line="240" w:lineRule="auto"/>
      <w:ind w:left="426"/>
      <w:jc w:val="left"/>
      <w:outlineLvl w:val="2"/>
    </w:pPr>
    <w:rPr>
      <w:rFonts w:ascii="黑体" w:hAnsi="黑体" w:eastAsia="黑体" w:cs="宋体"/>
      <w:kern w:val="0"/>
    </w:rPr>
  </w:style>
  <w:style w:type="paragraph" w:customStyle="1" w:styleId="234">
    <w:name w:val="正文表标题"/>
    <w:basedOn w:val="1"/>
    <w:next w:val="231"/>
    <w:qFormat/>
    <w:uiPriority w:val="0"/>
    <w:pPr>
      <w:widowControl/>
      <w:adjustRightInd/>
      <w:spacing w:beforeLines="50" w:afterLines="50" w:line="240" w:lineRule="auto"/>
      <w:jc w:val="center"/>
    </w:pPr>
    <w:rPr>
      <w:rFonts w:ascii="黑体" w:hAnsi="黑体" w:eastAsia="黑体" w:cs="宋体"/>
      <w:kern w:val="0"/>
    </w:rPr>
  </w:style>
  <w:style w:type="paragraph" w:customStyle="1" w:styleId="235">
    <w:name w:val="二级条标题"/>
    <w:basedOn w:val="233"/>
    <w:next w:val="231"/>
    <w:qFormat/>
    <w:uiPriority w:val="0"/>
    <w:pPr>
      <w:ind w:left="993"/>
      <w:outlineLvl w:val="3"/>
    </w:pPr>
  </w:style>
  <w:style w:type="paragraph" w:customStyle="1" w:styleId="236">
    <w:name w:val="终结线"/>
    <w:basedOn w:val="1"/>
    <w:qFormat/>
    <w:uiPriority w:val="0"/>
    <w:pPr>
      <w:adjustRightInd/>
      <w:spacing w:line="240" w:lineRule="auto"/>
    </w:pPr>
    <w:rPr>
      <w:rFonts w:ascii="Times New Roman" w:hAnsi="Times New Roman"/>
    </w:rPr>
  </w:style>
  <w:style w:type="paragraph" w:customStyle="1" w:styleId="237">
    <w:name w:val="二级无"/>
    <w:basedOn w:val="235"/>
    <w:qFormat/>
    <w:uiPriority w:val="0"/>
    <w:pPr>
      <w:spacing w:beforeLines="0" w:afterLines="0"/>
      <w:ind w:left="0"/>
    </w:pPr>
    <w:rPr>
      <w:rFonts w:ascii="宋体" w:hAnsi="宋体" w:eastAsia="宋体"/>
    </w:rPr>
  </w:style>
  <w:style w:type="character" w:customStyle="1" w:styleId="238">
    <w:name w:val="段 Char"/>
    <w:link w:val="231"/>
    <w:qFormat/>
    <w:uiPriority w:val="0"/>
    <w:rPr>
      <w:rFonts w:ascii="Times New Roman" w:hAnsi="Times New Roman"/>
      <w:sz w:val="21"/>
      <w:szCs w:val="21"/>
    </w:rPr>
  </w:style>
  <w:style w:type="paragraph" w:customStyle="1" w:styleId="239">
    <w:name w:val="表"/>
    <w:basedOn w:val="1"/>
    <w:link w:val="240"/>
    <w:qFormat/>
    <w:uiPriority w:val="0"/>
    <w:pPr>
      <w:adjustRightInd/>
      <w:spacing w:line="240" w:lineRule="auto"/>
    </w:pPr>
    <w:rPr>
      <w:rFonts w:ascii="Times New Roman" w:hAnsi="Times New Roman"/>
      <w:szCs w:val="28"/>
    </w:rPr>
  </w:style>
  <w:style w:type="character" w:customStyle="1" w:styleId="240">
    <w:name w:val="表 字符"/>
    <w:basedOn w:val="29"/>
    <w:link w:val="239"/>
    <w:qFormat/>
    <w:uiPriority w:val="0"/>
    <w:rPr>
      <w:rFonts w:ascii="Times New Roman" w:hAnsi="Times New Roman"/>
      <w:kern w:val="2"/>
      <w:sz w:val="21"/>
      <w:szCs w:val="28"/>
    </w:rPr>
  </w:style>
  <w:style w:type="paragraph" w:customStyle="1" w:styleId="241">
    <w:name w:val="表头"/>
    <w:basedOn w:val="1"/>
    <w:link w:val="242"/>
    <w:qFormat/>
    <w:uiPriority w:val="0"/>
    <w:pPr>
      <w:adjustRightInd/>
      <w:spacing w:line="360" w:lineRule="auto"/>
      <w:jc w:val="center"/>
    </w:pPr>
    <w:rPr>
      <w:rFonts w:ascii="Times New Roman" w:hAnsi="Times New Roman" w:eastAsia="黑体"/>
      <w:szCs w:val="28"/>
    </w:rPr>
  </w:style>
  <w:style w:type="character" w:customStyle="1" w:styleId="242">
    <w:name w:val="表头 字符"/>
    <w:basedOn w:val="29"/>
    <w:link w:val="241"/>
    <w:qFormat/>
    <w:uiPriority w:val="0"/>
    <w:rPr>
      <w:rFonts w:ascii="Times New Roman" w:hAnsi="Times New Roman" w:eastAsia="黑体"/>
      <w:kern w:val="2"/>
      <w:sz w:val="21"/>
      <w:szCs w:val="28"/>
    </w:rPr>
  </w:style>
  <w:style w:type="paragraph" w:styleId="243">
    <w:name w:val="List Paragraph"/>
    <w:basedOn w:val="1"/>
    <w:qFormat/>
    <w:uiPriority w:val="99"/>
    <w:pPr>
      <w:ind w:firstLine="420" w:firstLineChars="200"/>
    </w:pPr>
  </w:style>
  <w:style w:type="paragraph" w:customStyle="1" w:styleId="244">
    <w:name w:val="三级条标题"/>
    <w:basedOn w:val="235"/>
    <w:next w:val="231"/>
    <w:qFormat/>
    <w:uiPriority w:val="0"/>
    <w:pPr>
      <w:ind w:left="0"/>
      <w:outlineLvl w:val="4"/>
    </w:pPr>
  </w:style>
  <w:style w:type="table" w:customStyle="1" w:styleId="245">
    <w:name w:val="Plain Table 2"/>
    <w:basedOn w:val="27"/>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zhenvictorlu/Library/Containers/com.kingsoft.wpsoffice.mac/Data/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31FE690B0624853ADD19C3FCCEF37A6"/>
        <w:style w:val=""/>
        <w:category>
          <w:name w:val="常规"/>
          <w:gallery w:val="placeholder"/>
        </w:category>
        <w:types>
          <w:type w:val="bbPlcHdr"/>
        </w:types>
        <w:behaviors>
          <w:behavior w:val="content"/>
        </w:behaviors>
        <w:description w:val=""/>
        <w:guid w:val="{5C8DEBCA-D946-4394-A670-54D35FF62DA4}"/>
      </w:docPartPr>
      <w:docPartBody>
        <w:p>
          <w:pPr>
            <w:pStyle w:val="5"/>
            <w:rPr>
              <w:rFonts w:hint="eastAsia"/>
            </w:rPr>
          </w:pPr>
          <w:r>
            <w:rPr>
              <w:rStyle w:val="4"/>
              <w:rFonts w:hint="eastAsia"/>
            </w:rPr>
            <w:t>单击或点击此处输入文字。</w:t>
          </w:r>
        </w:p>
      </w:docPartBody>
    </w:docPart>
    <w:docPart>
      <w:docPartPr>
        <w:name w:val="A9223B7E72E541478EE2E6677BBADF0C"/>
        <w:style w:val=""/>
        <w:category>
          <w:name w:val="常规"/>
          <w:gallery w:val="placeholder"/>
        </w:category>
        <w:types>
          <w:type w:val="bbPlcHdr"/>
        </w:types>
        <w:behaviors>
          <w:behavior w:val="content"/>
        </w:behaviors>
        <w:description w:val=""/>
        <w:guid w:val="{0B89BFCD-44DD-43A5-933C-04EE6098EF21}"/>
      </w:docPartPr>
      <w:docPartBody>
        <w:p>
          <w:pPr>
            <w:pStyle w:val="6"/>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E1F"/>
    <w:rsid w:val="0005143E"/>
    <w:rsid w:val="00075985"/>
    <w:rsid w:val="0008138B"/>
    <w:rsid w:val="00092D4D"/>
    <w:rsid w:val="000B1225"/>
    <w:rsid w:val="000D0767"/>
    <w:rsid w:val="000E4184"/>
    <w:rsid w:val="000E5E41"/>
    <w:rsid w:val="00132922"/>
    <w:rsid w:val="00163FE5"/>
    <w:rsid w:val="00170E1F"/>
    <w:rsid w:val="001845A7"/>
    <w:rsid w:val="001B46CB"/>
    <w:rsid w:val="001E28EE"/>
    <w:rsid w:val="0023259E"/>
    <w:rsid w:val="00296C52"/>
    <w:rsid w:val="002974D5"/>
    <w:rsid w:val="002A2966"/>
    <w:rsid w:val="002C1F1B"/>
    <w:rsid w:val="002D1863"/>
    <w:rsid w:val="002F6F04"/>
    <w:rsid w:val="00346474"/>
    <w:rsid w:val="003556EC"/>
    <w:rsid w:val="003612B6"/>
    <w:rsid w:val="004000FA"/>
    <w:rsid w:val="00400519"/>
    <w:rsid w:val="004201CC"/>
    <w:rsid w:val="00423DC2"/>
    <w:rsid w:val="004524E0"/>
    <w:rsid w:val="004C3063"/>
    <w:rsid w:val="004F7F0C"/>
    <w:rsid w:val="0053564C"/>
    <w:rsid w:val="00537F0F"/>
    <w:rsid w:val="00557149"/>
    <w:rsid w:val="00616132"/>
    <w:rsid w:val="006620C7"/>
    <w:rsid w:val="006770B3"/>
    <w:rsid w:val="006771C6"/>
    <w:rsid w:val="006A3787"/>
    <w:rsid w:val="007F013E"/>
    <w:rsid w:val="0081393F"/>
    <w:rsid w:val="00862303"/>
    <w:rsid w:val="00885A60"/>
    <w:rsid w:val="009C006E"/>
    <w:rsid w:val="009C4F88"/>
    <w:rsid w:val="00A073DD"/>
    <w:rsid w:val="00A2500A"/>
    <w:rsid w:val="00A40FC8"/>
    <w:rsid w:val="00AC7EA2"/>
    <w:rsid w:val="00B4288D"/>
    <w:rsid w:val="00B55B47"/>
    <w:rsid w:val="00B56BDE"/>
    <w:rsid w:val="00B70D09"/>
    <w:rsid w:val="00B7106C"/>
    <w:rsid w:val="00B963F3"/>
    <w:rsid w:val="00BC36E8"/>
    <w:rsid w:val="00BE1E69"/>
    <w:rsid w:val="00C30791"/>
    <w:rsid w:val="00C42A51"/>
    <w:rsid w:val="00C53747"/>
    <w:rsid w:val="00C70DB5"/>
    <w:rsid w:val="00CA4A23"/>
    <w:rsid w:val="00CE19D2"/>
    <w:rsid w:val="00D048FF"/>
    <w:rsid w:val="00D04E7E"/>
    <w:rsid w:val="00DA376A"/>
    <w:rsid w:val="00DB51D5"/>
    <w:rsid w:val="00EA1532"/>
    <w:rsid w:val="00EB2200"/>
    <w:rsid w:val="00F04F0B"/>
    <w:rsid w:val="00F43392"/>
    <w:rsid w:val="00F65CA7"/>
    <w:rsid w:val="00F71511"/>
    <w:rsid w:val="00FA434B"/>
    <w:rsid w:val="00FB59C4"/>
    <w:rsid w:val="00FC19FB"/>
    <w:rsid w:val="00FC6408"/>
    <w:rsid w:val="00FD3E58"/>
    <w:rsid w:val="00FE2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31FE690B0624853ADD19C3FCCEF37A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9223B7E72E541478EE2E6677BBADF0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Template>
  <Company>PCMI</Company>
  <Pages>6</Pages>
  <Words>1663</Words>
  <Characters>2629</Characters>
  <Lines>187</Lines>
  <Paragraphs>225</Paragraphs>
  <TotalTime>137</TotalTime>
  <ScaleCrop>false</ScaleCrop>
  <LinksUpToDate>false</LinksUpToDate>
  <CharactersWithSpaces>4067</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2024-11-28T13:15:00Z</dcterms:created>
  <dc:creator>席兴军</dc:creator>
  <dc:description>按照甲鱼肽粉标准修改格式</dc:description>
  <cp:lastModifiedBy>Victor Zhen LU</cp:lastModifiedBy>
  <cp:lastPrinted>2024-12-04T11:39:00Z</cp:lastPrinted>
  <dcterms:modified xsi:type="dcterms:W3CDTF">2025-11-11T11:54:38Z</dcterms:modified>
  <dc:title>行业标准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2052-6.7.1.8828</vt:lpwstr>
  </property>
  <property fmtid="{D5CDD505-2E9C-101B-9397-08002B2CF9AE}" pid="15" name="ICV">
    <vt:lpwstr>84F50F044C664AEDA1198704C5AE3AD1</vt:lpwstr>
  </property>
</Properties>
</file>